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5ADD78F6" w:rsidR="00266FFE" w:rsidRPr="00763751" w:rsidRDefault="00512FB9" w:rsidP="00E162F7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EMERGENCY SHELTER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6B653D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999"/>
        <w:gridCol w:w="830"/>
      </w:tblGrid>
      <w:tr w:rsidR="00F469E9" w:rsidRPr="00F469E9" w14:paraId="43D00CC7" w14:textId="77777777" w:rsidTr="006B653D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65" w:type="dxa"/>
            <w:gridSpan w:val="2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6B653D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65" w:type="dxa"/>
            <w:gridSpan w:val="2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6B653D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65" w:type="dxa"/>
            <w:gridSpan w:val="2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F9C" w:rsidRPr="00F469E9" w14:paraId="75A45852" w14:textId="77777777" w:rsidTr="006B653D">
        <w:trPr>
          <w:trHeight w:val="287"/>
        </w:trPr>
        <w:tc>
          <w:tcPr>
            <w:tcW w:w="2386" w:type="dxa"/>
            <w:vAlign w:val="center"/>
          </w:tcPr>
          <w:p w14:paraId="253B91A1" w14:textId="77777777" w:rsidR="00034F9C" w:rsidRDefault="00034F9C" w:rsidP="00F46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Coordinated Entry</w:t>
            </w:r>
          </w:p>
          <w:p w14:paraId="20101B13" w14:textId="686DDD38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(Circle One)</w:t>
            </w:r>
          </w:p>
        </w:tc>
        <w:tc>
          <w:tcPr>
            <w:tcW w:w="779" w:type="dxa"/>
            <w:vAlign w:val="center"/>
          </w:tcPr>
          <w:p w14:paraId="6D987F42" w14:textId="6F9FD885" w:rsidR="00034F9C" w:rsidRPr="00034F9C" w:rsidRDefault="00034F9C" w:rsidP="00034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Access Point</w:t>
            </w:r>
          </w:p>
        </w:tc>
        <w:tc>
          <w:tcPr>
            <w:tcW w:w="786" w:type="dxa"/>
            <w:vAlign w:val="center"/>
          </w:tcPr>
          <w:p w14:paraId="24EB6592" w14:textId="7102453F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Referral</w:t>
            </w:r>
          </w:p>
        </w:tc>
      </w:tr>
      <w:tr w:rsidR="006B653D" w:rsidRPr="00F469E9" w14:paraId="4205C0A0" w14:textId="77777777" w:rsidTr="006B653D">
        <w:trPr>
          <w:trHeight w:val="287"/>
        </w:trPr>
        <w:tc>
          <w:tcPr>
            <w:tcW w:w="2386" w:type="dxa"/>
            <w:vAlign w:val="center"/>
          </w:tcPr>
          <w:p w14:paraId="4804DAD0" w14:textId="77777777" w:rsidR="006B653D" w:rsidRDefault="006B653D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E62BC0">
              <w:rPr>
                <w:rFonts w:ascii="Arial" w:hAnsi="Arial" w:cs="Arial"/>
                <w:sz w:val="18"/>
                <w:szCs w:val="18"/>
                <w:highlight w:val="yellow"/>
              </w:rPr>
              <w:t>Activity Provided</w:t>
            </w:r>
          </w:p>
          <w:p w14:paraId="6E5EC757" w14:textId="7D4B293D" w:rsidR="006B653D" w:rsidRDefault="006B653D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6B653D">
              <w:rPr>
                <w:rFonts w:ascii="Arial" w:hAnsi="Arial" w:cs="Arial"/>
                <w:sz w:val="16"/>
                <w:szCs w:val="16"/>
              </w:rPr>
              <w:t>(circle one or both)</w:t>
            </w:r>
          </w:p>
        </w:tc>
        <w:tc>
          <w:tcPr>
            <w:tcW w:w="779" w:type="dxa"/>
            <w:vAlign w:val="center"/>
          </w:tcPr>
          <w:p w14:paraId="451251BC" w14:textId="0390A12A" w:rsidR="006B653D" w:rsidRPr="00034F9C" w:rsidRDefault="006B653D" w:rsidP="00034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Operations</w:t>
            </w:r>
          </w:p>
        </w:tc>
        <w:tc>
          <w:tcPr>
            <w:tcW w:w="786" w:type="dxa"/>
            <w:vAlign w:val="center"/>
          </w:tcPr>
          <w:p w14:paraId="6AD68052" w14:textId="2750B95D" w:rsidR="006B653D" w:rsidRPr="00034F9C" w:rsidRDefault="006B653D" w:rsidP="00F469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Services</w:t>
            </w:r>
          </w:p>
        </w:tc>
      </w:tr>
    </w:tbl>
    <w:p w14:paraId="733DD7E4" w14:textId="77777777" w:rsid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16B6A0A0" w14:textId="77777777" w:rsidR="00E649D6" w:rsidRP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0BEBEEA4" w14:textId="3A6C000C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Assessment/Eligibility Criteria</w:t>
      </w:r>
      <w:r w:rsidR="006B653D">
        <w:rPr>
          <w:rFonts w:asciiTheme="minorHAnsi" w:hAnsiTheme="minorHAnsi" w:cstheme="minorHAnsi"/>
          <w:b/>
          <w:bCs/>
        </w:rPr>
        <w:t xml:space="preserve"> (required)</w:t>
      </w:r>
    </w:p>
    <w:p w14:paraId="2D6AE81E" w14:textId="795796D8" w:rsidR="006B653D" w:rsidRPr="009A26BE" w:rsidRDefault="00E62BC0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1.1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>ESG Emergency Shelter 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7CE06E30" w:rsidR="00EF04FC" w:rsidRDefault="00E62BC0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5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3CE131BB" w14:textId="3042D568" w:rsidR="006B653D" w:rsidRDefault="00E62BC0" w:rsidP="006B653D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3595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5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653D">
        <w:rPr>
          <w:rFonts w:asciiTheme="minorHAnsi" w:hAnsiTheme="minorHAnsi" w:cstheme="minorHAnsi"/>
        </w:rPr>
        <w:tab/>
        <w:t>Self-certification or third-party verification of homelessness</w:t>
      </w:r>
    </w:p>
    <w:p w14:paraId="15DD749E" w14:textId="0AC57DFA" w:rsidR="00EF04FC" w:rsidRDefault="00E62BC0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D5243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283003E8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Start Assessment – ES</w:t>
      </w:r>
    </w:p>
    <w:p w14:paraId="77D87DB5" w14:textId="5F124234" w:rsidR="00071852" w:rsidRDefault="00071852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MeckHMIS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Enrollment</w:t>
      </w:r>
    </w:p>
    <w:p w14:paraId="1B62092E" w14:textId="0C5DEDA8" w:rsidR="00587750" w:rsidRDefault="00587750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Wake HMIS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Intake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07584967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2</w:t>
      </w:r>
      <w:proofErr w:type="gramStart"/>
      <w:r w:rsidRPr="00763751">
        <w:rPr>
          <w:rFonts w:asciiTheme="minorHAnsi" w:hAnsiTheme="minorHAnsi" w:cstheme="minorHAnsi"/>
          <w:b/>
          <w:bCs/>
        </w:rPr>
        <w:t xml:space="preserve">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</w:t>
      </w:r>
      <w:proofErr w:type="gramEnd"/>
      <w:r w:rsidR="00680ABA" w:rsidRPr="00763751">
        <w:rPr>
          <w:rFonts w:asciiTheme="minorHAnsi" w:hAnsiTheme="minorHAnsi" w:cstheme="minorHAnsi"/>
          <w:b/>
          <w:bCs/>
        </w:rPr>
        <w:t xml:space="preserve"> Assessment/</w:t>
      </w:r>
      <w:r w:rsidRPr="00763751">
        <w:rPr>
          <w:rFonts w:asciiTheme="minorHAnsi" w:hAnsiTheme="minorHAnsi" w:cstheme="minorHAnsi"/>
          <w:b/>
          <w:bCs/>
        </w:rPr>
        <w:t>Client Exit Strategy</w:t>
      </w:r>
      <w:r w:rsidR="006B653D">
        <w:rPr>
          <w:rFonts w:asciiTheme="minorHAnsi" w:hAnsiTheme="minorHAnsi" w:cstheme="minorHAnsi"/>
          <w:b/>
          <w:bCs/>
        </w:rPr>
        <w:t xml:space="preserve"> (required)</w:t>
      </w:r>
    </w:p>
    <w:p w14:paraId="315F90A2" w14:textId="11F93E85" w:rsidR="001151FF" w:rsidRDefault="00E62BC0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89634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F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1151FF">
        <w:rPr>
          <w:rFonts w:asciiTheme="minorHAnsi" w:hAnsiTheme="minorHAnsi" w:cstheme="minorHAnsi"/>
          <w:color w:val="auto"/>
        </w:rPr>
        <w:tab/>
      </w:r>
      <w:r w:rsidR="001151FF">
        <w:rPr>
          <w:rFonts w:asciiTheme="minorHAnsi" w:hAnsiTheme="minorHAnsi" w:cstheme="minorHAnsi"/>
          <w:b/>
          <w:bCs/>
          <w:color w:val="auto"/>
        </w:rPr>
        <w:t xml:space="preserve">3.8 </w:t>
      </w:r>
      <w:bookmarkStart w:id="0" w:name="_Hlk97719663"/>
      <w:r w:rsidR="001151FF">
        <w:rPr>
          <w:rFonts w:asciiTheme="minorHAnsi" w:hAnsiTheme="minorHAnsi" w:cstheme="minorHAnsi"/>
          <w:color w:val="auto"/>
        </w:rPr>
        <w:t>Housing Barriers Matrix and Initial Housing Stabilization and Action Plan</w:t>
      </w:r>
      <w:bookmarkEnd w:id="0"/>
    </w:p>
    <w:p w14:paraId="21E036EE" w14:textId="6CC3DB0B" w:rsidR="001151FF" w:rsidRPr="001151FF" w:rsidRDefault="00E62BC0" w:rsidP="00080FA1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416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5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653D" w:rsidRPr="00763751">
        <w:rPr>
          <w:rFonts w:asciiTheme="minorHAnsi" w:hAnsiTheme="minorHAnsi" w:cstheme="minorHAnsi"/>
        </w:rPr>
        <w:tab/>
      </w:r>
      <w:r w:rsidR="006B653D" w:rsidRPr="006B653D">
        <w:rPr>
          <w:rFonts w:asciiTheme="minorHAnsi" w:hAnsiTheme="minorHAnsi" w:cstheme="minorHAnsi"/>
          <w:b/>
          <w:bCs/>
        </w:rPr>
        <w:t>3.8A</w:t>
      </w:r>
      <w:r w:rsidR="006B653D">
        <w:rPr>
          <w:rFonts w:asciiTheme="minorHAnsi" w:hAnsiTheme="minorHAnsi" w:cstheme="minorHAnsi"/>
        </w:rPr>
        <w:t xml:space="preserve"> </w:t>
      </w:r>
      <w:r w:rsidR="006F4382">
        <w:rPr>
          <w:rFonts w:asciiTheme="minorHAnsi" w:hAnsiTheme="minorHAnsi" w:cstheme="minorHAnsi"/>
        </w:rPr>
        <w:t xml:space="preserve">NC ESG Monthly Update </w:t>
      </w:r>
      <w:r w:rsidR="006B653D">
        <w:rPr>
          <w:rFonts w:asciiTheme="minorHAnsi" w:hAnsiTheme="minorHAnsi" w:cstheme="minorHAnsi"/>
        </w:rPr>
        <w:t xml:space="preserve">or </w:t>
      </w:r>
      <w:r w:rsidR="004F7BCF">
        <w:rPr>
          <w:rFonts w:asciiTheme="minorHAnsi" w:hAnsiTheme="minorHAnsi" w:cstheme="minorHAnsi"/>
        </w:rPr>
        <w:t>Case Notes</w:t>
      </w:r>
      <w:r w:rsidR="006B653D">
        <w:rPr>
          <w:rFonts w:asciiTheme="minorHAnsi" w:hAnsiTheme="minorHAnsi" w:cstheme="minorHAnsi"/>
          <w:color w:val="auto"/>
        </w:rPr>
        <w:tab/>
      </w:r>
    </w:p>
    <w:p w14:paraId="60BC5A6A" w14:textId="074C7556" w:rsidR="00EF04FC" w:rsidRDefault="00E62BC0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77F50F55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Exit Assessment – SSO, DS, ES, TH, RRH, OPH, PSH</w:t>
      </w:r>
    </w:p>
    <w:p w14:paraId="607A3CCF" w14:textId="4C33E4AA" w:rsidR="00071852" w:rsidRDefault="00071852" w:rsidP="00606DD7">
      <w:pPr>
        <w:pStyle w:val="Default"/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MeckHMIS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75AD1AFC" w14:textId="27B4E868" w:rsidR="00587750" w:rsidRDefault="00587750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Wake HMIS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Project Exit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671FE8FE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  <w:r w:rsidR="006B653D">
        <w:rPr>
          <w:rFonts w:asciiTheme="minorHAnsi" w:hAnsiTheme="minorHAnsi" w:cstheme="minorHAnsi"/>
          <w:b/>
          <w:bCs/>
        </w:rPr>
        <w:t xml:space="preserve"> (required)</w:t>
      </w:r>
    </w:p>
    <w:p w14:paraId="30590E77" w14:textId="0B3399BF" w:rsidR="009A26BE" w:rsidRDefault="00E62BC0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319BB465" w:rsidR="009A26BE" w:rsidRDefault="00E62BC0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42FE2DA5" w14:textId="77777777" w:rsidR="009E59E1" w:rsidRPr="00F42CAE" w:rsidRDefault="009E59E1">
      <w:pPr>
        <w:rPr>
          <w:sz w:val="22"/>
          <w:szCs w:val="22"/>
        </w:rPr>
      </w:pPr>
    </w:p>
    <w:p w14:paraId="26C012E3" w14:textId="77777777" w:rsidR="00C1539A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03B856EF" w14:textId="77777777" w:rsidR="006B653D" w:rsidRPr="00E62BC0" w:rsidRDefault="00E62BC0" w:rsidP="006B653D">
      <w:pPr>
        <w:pStyle w:val="Default"/>
        <w:rPr>
          <w:rFonts w:asciiTheme="minorHAnsi" w:hAnsiTheme="minorHAnsi" w:cstheme="minorHAnsi"/>
          <w:color w:val="auto"/>
          <w:highlight w:val="yellow"/>
        </w:rPr>
      </w:pPr>
      <w:sdt>
        <w:sdtPr>
          <w:rPr>
            <w:rFonts w:asciiTheme="minorHAnsi" w:hAnsiTheme="minorHAnsi" w:cstheme="minorHAnsi"/>
            <w:color w:val="auto"/>
          </w:rPr>
          <w:id w:val="-148523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53D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653D" w:rsidRPr="006B653D">
        <w:rPr>
          <w:rFonts w:asciiTheme="minorHAnsi" w:hAnsiTheme="minorHAnsi" w:cstheme="minorHAnsi"/>
          <w:color w:val="auto"/>
        </w:rPr>
        <w:t xml:space="preserve">         </w:t>
      </w:r>
      <w:r w:rsidR="006B653D" w:rsidRPr="00E62BC0">
        <w:rPr>
          <w:rFonts w:asciiTheme="minorHAnsi" w:hAnsiTheme="minorHAnsi" w:cstheme="minorHAnsi"/>
          <w:color w:val="auto"/>
          <w:highlight w:val="yellow"/>
        </w:rPr>
        <w:t>3.3 Housing-Critical Needs Assessment Summary AND;</w:t>
      </w:r>
    </w:p>
    <w:p w14:paraId="678DDA1C" w14:textId="7D423333" w:rsidR="006B653D" w:rsidRPr="006B653D" w:rsidRDefault="00E62BC0" w:rsidP="00F469E9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  <w:highlight w:val="yellow"/>
          </w:rPr>
          <w:id w:val="-40745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53D" w:rsidRPr="00E62BC0">
            <w:rPr>
              <w:rFonts w:ascii="MS Gothic" w:eastAsia="MS Gothic" w:hAnsi="MS Gothic" w:cstheme="minorHAnsi" w:hint="eastAsia"/>
              <w:color w:val="auto"/>
              <w:highlight w:val="yellow"/>
            </w:rPr>
            <w:t>☐</w:t>
          </w:r>
        </w:sdtContent>
      </w:sdt>
      <w:r w:rsidR="006B653D" w:rsidRPr="00E62BC0">
        <w:rPr>
          <w:rFonts w:asciiTheme="minorHAnsi" w:hAnsiTheme="minorHAnsi" w:cstheme="minorHAnsi"/>
          <w:color w:val="auto"/>
          <w:highlight w:val="yellow"/>
        </w:rPr>
        <w:tab/>
        <w:t>3.4 Individual</w:t>
      </w:r>
      <w:r w:rsidR="006B653D">
        <w:rPr>
          <w:rFonts w:asciiTheme="minorHAnsi" w:hAnsiTheme="minorHAnsi" w:cstheme="minorHAnsi"/>
          <w:color w:val="auto"/>
        </w:rPr>
        <w:t xml:space="preserve"> Housing Stabilization Plan (upon 7 days in shelter)</w:t>
      </w:r>
    </w:p>
    <w:p w14:paraId="07915D27" w14:textId="3BD25C9B" w:rsidR="00C1539A" w:rsidRPr="00DF66DE" w:rsidRDefault="00E62BC0" w:rsidP="00C1539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528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1539A" w:rsidRPr="00DF66DE">
        <w:rPr>
          <w:rFonts w:asciiTheme="minorHAnsi" w:hAnsiTheme="minorHAnsi" w:cstheme="minorHAnsi"/>
          <w:sz w:val="22"/>
          <w:szCs w:val="22"/>
        </w:rPr>
        <w:tab/>
      </w:r>
      <w:r w:rsidR="00C1539A" w:rsidRPr="006B653D">
        <w:rPr>
          <w:rFonts w:asciiTheme="minorHAnsi" w:hAnsiTheme="minorHAnsi" w:cstheme="minorHAnsi"/>
        </w:rPr>
        <w:t>Coordinated Entry Documentation</w:t>
      </w:r>
    </w:p>
    <w:p w14:paraId="2382EF4B" w14:textId="77777777" w:rsidR="00F469E9" w:rsidRPr="00763751" w:rsidRDefault="00E62BC0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  <w:t>Shelter Operations (HMIS/DV output delivery notes)</w:t>
      </w:r>
    </w:p>
    <w:p w14:paraId="58EBCE9E" w14:textId="6363D3D6" w:rsidR="00606DD7" w:rsidRDefault="00E62BC0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  <w:r w:rsidR="004F7BCF">
        <w:rPr>
          <w:rFonts w:asciiTheme="minorHAnsi" w:hAnsiTheme="minorHAnsi" w:cstheme="minorHAnsi"/>
        </w:rPr>
        <w:t xml:space="preserve">, Referrals, </w:t>
      </w:r>
      <w:proofErr w:type="spellStart"/>
      <w:r w:rsidR="004F7BCF">
        <w:rPr>
          <w:rFonts w:asciiTheme="minorHAnsi" w:hAnsiTheme="minorHAnsi" w:cstheme="minorHAnsi"/>
        </w:rPr>
        <w:t>etc</w:t>
      </w:r>
      <w:proofErr w:type="spellEnd"/>
    </w:p>
    <w:bookmarkStart w:id="1" w:name="_Hlk24959827"/>
    <w:p w14:paraId="70C51BCB" w14:textId="1A2168F8" w:rsidR="00606DD7" w:rsidRDefault="00E62BC0" w:rsidP="00606DD7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235" w:rsidRPr="005522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2235" w:rsidRPr="00552235">
        <w:rPr>
          <w:rFonts w:asciiTheme="minorHAnsi" w:hAnsiTheme="minorHAnsi" w:cstheme="minorHAnsi"/>
        </w:rPr>
        <w:tab/>
        <w:t>HMIS/Comparable Database Release of Information and/or Sharing Plan</w:t>
      </w:r>
      <w:bookmarkEnd w:id="1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7C151C2E" w:rsidR="00EE6CCB" w:rsidRPr="00587750" w:rsidRDefault="00606DD7" w:rsidP="00F469E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**NOTE: While NC ESG Form 5.1 (Emergency Response Minimum Habitability Standards Checklist) is not required for inclusion in Shelter Client Files, per 24 CFR 576.403,</w:t>
      </w:r>
      <w:r w:rsidR="000718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emergency shelters must meet minimum safety, sanitation and privacy standards. Therefore, habitability inspections must occur in April, July and November of each year. </w:t>
      </w:r>
    </w:p>
    <w:sectPr w:rsidR="00EE6CCB" w:rsidRPr="00587750" w:rsidSect="00071852">
      <w:footerReference w:type="default" r:id="rId8"/>
      <w:pgSz w:w="12240" w:h="15840"/>
      <w:pgMar w:top="720" w:right="1440" w:bottom="1440" w:left="1440" w:header="720" w:footer="374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B099" w14:textId="77777777" w:rsidR="00170959" w:rsidRDefault="00170959" w:rsidP="00512FB9">
      <w:r>
        <w:separator/>
      </w:r>
    </w:p>
  </w:endnote>
  <w:endnote w:type="continuationSeparator" w:id="0">
    <w:p w14:paraId="1A30A356" w14:textId="77777777" w:rsidR="00170959" w:rsidRDefault="00170959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3895CA77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20</w:t>
    </w:r>
    <w:r w:rsidR="00606DD7">
      <w:rPr>
        <w:rFonts w:ascii="Arial" w:hAnsi="Arial" w:cs="Arial"/>
        <w:sz w:val="22"/>
        <w:szCs w:val="22"/>
      </w:rPr>
      <w:t>2</w:t>
    </w:r>
    <w:r w:rsidR="006B653D">
      <w:rPr>
        <w:rFonts w:ascii="Arial" w:hAnsi="Arial" w:cs="Arial"/>
        <w:sz w:val="22"/>
        <w:szCs w:val="22"/>
      </w:rPr>
      <w:t>6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70FD" w14:textId="77777777" w:rsidR="00170959" w:rsidRDefault="00170959" w:rsidP="00512FB9">
      <w:r>
        <w:separator/>
      </w:r>
    </w:p>
  </w:footnote>
  <w:footnote w:type="continuationSeparator" w:id="0">
    <w:p w14:paraId="074D12C9" w14:textId="77777777" w:rsidR="00170959" w:rsidRDefault="00170959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368600650">
    <w:abstractNumId w:val="1"/>
  </w:num>
  <w:num w:numId="2" w16cid:durableId="182042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23EB7"/>
    <w:rsid w:val="00034F9C"/>
    <w:rsid w:val="0003705A"/>
    <w:rsid w:val="00043A04"/>
    <w:rsid w:val="00046FD0"/>
    <w:rsid w:val="00071852"/>
    <w:rsid w:val="000748C6"/>
    <w:rsid w:val="00080FA1"/>
    <w:rsid w:val="000A2DBF"/>
    <w:rsid w:val="000E7EA9"/>
    <w:rsid w:val="001151FF"/>
    <w:rsid w:val="001206C7"/>
    <w:rsid w:val="00162F46"/>
    <w:rsid w:val="0016390B"/>
    <w:rsid w:val="00170959"/>
    <w:rsid w:val="001D359B"/>
    <w:rsid w:val="001F403A"/>
    <w:rsid w:val="00233E68"/>
    <w:rsid w:val="00265D00"/>
    <w:rsid w:val="00266FFE"/>
    <w:rsid w:val="00270462"/>
    <w:rsid w:val="00275D09"/>
    <w:rsid w:val="002B7AB5"/>
    <w:rsid w:val="002E02CE"/>
    <w:rsid w:val="002E17AD"/>
    <w:rsid w:val="00300ADC"/>
    <w:rsid w:val="0030170F"/>
    <w:rsid w:val="00414F76"/>
    <w:rsid w:val="004771F7"/>
    <w:rsid w:val="00477D0C"/>
    <w:rsid w:val="004959AF"/>
    <w:rsid w:val="004F7BCF"/>
    <w:rsid w:val="00512FB9"/>
    <w:rsid w:val="00520DA6"/>
    <w:rsid w:val="005316E6"/>
    <w:rsid w:val="00544B19"/>
    <w:rsid w:val="00552235"/>
    <w:rsid w:val="0058637B"/>
    <w:rsid w:val="00587750"/>
    <w:rsid w:val="005A5104"/>
    <w:rsid w:val="005B777D"/>
    <w:rsid w:val="005C2873"/>
    <w:rsid w:val="00606DD7"/>
    <w:rsid w:val="00615860"/>
    <w:rsid w:val="00627DA2"/>
    <w:rsid w:val="00646A41"/>
    <w:rsid w:val="00657BB0"/>
    <w:rsid w:val="00680ABA"/>
    <w:rsid w:val="00697876"/>
    <w:rsid w:val="006B287C"/>
    <w:rsid w:val="006B653D"/>
    <w:rsid w:val="006B6C57"/>
    <w:rsid w:val="006C1E56"/>
    <w:rsid w:val="006E74D8"/>
    <w:rsid w:val="006F4382"/>
    <w:rsid w:val="006F55DE"/>
    <w:rsid w:val="00707012"/>
    <w:rsid w:val="00763751"/>
    <w:rsid w:val="00774BBD"/>
    <w:rsid w:val="00780DF4"/>
    <w:rsid w:val="0078711D"/>
    <w:rsid w:val="00791AB2"/>
    <w:rsid w:val="007A3ED8"/>
    <w:rsid w:val="007B393C"/>
    <w:rsid w:val="007E5E77"/>
    <w:rsid w:val="008165CA"/>
    <w:rsid w:val="00851A13"/>
    <w:rsid w:val="0086583A"/>
    <w:rsid w:val="00867E85"/>
    <w:rsid w:val="00890772"/>
    <w:rsid w:val="008F026A"/>
    <w:rsid w:val="008F35DF"/>
    <w:rsid w:val="00976352"/>
    <w:rsid w:val="009A26BE"/>
    <w:rsid w:val="009A54B7"/>
    <w:rsid w:val="009E58B7"/>
    <w:rsid w:val="009E59E1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C1EC3"/>
    <w:rsid w:val="00BC620B"/>
    <w:rsid w:val="00BD15A0"/>
    <w:rsid w:val="00BD7DF1"/>
    <w:rsid w:val="00BE20F6"/>
    <w:rsid w:val="00BF0EA7"/>
    <w:rsid w:val="00BF457C"/>
    <w:rsid w:val="00C05F87"/>
    <w:rsid w:val="00C1539A"/>
    <w:rsid w:val="00C34DC2"/>
    <w:rsid w:val="00C41E07"/>
    <w:rsid w:val="00C55354"/>
    <w:rsid w:val="00C87E66"/>
    <w:rsid w:val="00C9477F"/>
    <w:rsid w:val="00CD5243"/>
    <w:rsid w:val="00CF55C8"/>
    <w:rsid w:val="00D32203"/>
    <w:rsid w:val="00D42F69"/>
    <w:rsid w:val="00D464F1"/>
    <w:rsid w:val="00D96A4A"/>
    <w:rsid w:val="00DF3892"/>
    <w:rsid w:val="00DF7810"/>
    <w:rsid w:val="00E162F7"/>
    <w:rsid w:val="00E25702"/>
    <w:rsid w:val="00E26CF3"/>
    <w:rsid w:val="00E40F78"/>
    <w:rsid w:val="00E52824"/>
    <w:rsid w:val="00E622FB"/>
    <w:rsid w:val="00E62BC0"/>
    <w:rsid w:val="00E649D6"/>
    <w:rsid w:val="00EE20EC"/>
    <w:rsid w:val="00EE6CCB"/>
    <w:rsid w:val="00EF04FC"/>
    <w:rsid w:val="00EF1107"/>
    <w:rsid w:val="00F06570"/>
    <w:rsid w:val="00F12E84"/>
    <w:rsid w:val="00F150CB"/>
    <w:rsid w:val="00F42CAE"/>
    <w:rsid w:val="00F45E02"/>
    <w:rsid w:val="00F469E9"/>
    <w:rsid w:val="00F62F43"/>
    <w:rsid w:val="00FB6F58"/>
    <w:rsid w:val="00FC0E4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6C3E-F84D-414B-927E-ED3C029B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1576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6</cp:revision>
  <cp:lastPrinted>2021-10-28T14:58:00Z</cp:lastPrinted>
  <dcterms:created xsi:type="dcterms:W3CDTF">2025-11-04T13:49:00Z</dcterms:created>
  <dcterms:modified xsi:type="dcterms:W3CDTF">2026-01-02T16:37:00Z</dcterms:modified>
</cp:coreProperties>
</file>