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AF48E" w14:textId="4DDDEF8A" w:rsidR="00F022B8" w:rsidRDefault="000A7DEE" w:rsidP="000A7DEE">
      <w:pPr>
        <w:jc w:val="center"/>
      </w:pPr>
      <w:r>
        <w:t>23-24 Plan of Action Q&amp;A</w:t>
      </w:r>
    </w:p>
    <w:p w14:paraId="6A72A1C7" w14:textId="02B97755" w:rsidR="005C09BC" w:rsidRDefault="005C09BC" w:rsidP="000A7DEE">
      <w:pPr>
        <w:jc w:val="center"/>
      </w:pPr>
      <w:r>
        <w:t>May 30, 2023</w:t>
      </w:r>
    </w:p>
    <w:p w14:paraId="6ADFBC30" w14:textId="417DCAA4" w:rsidR="007042C3" w:rsidRDefault="007042C3" w:rsidP="000A7DEE">
      <w:pPr>
        <w:jc w:val="center"/>
      </w:pPr>
      <w:r>
        <w:t>Plan Of Action</w:t>
      </w:r>
      <w:r w:rsidR="005C09BC">
        <w:t>s</w:t>
      </w:r>
      <w:r>
        <w:t xml:space="preserve"> </w:t>
      </w:r>
      <w:r w:rsidR="005C09BC">
        <w:t>are</w:t>
      </w:r>
      <w:r>
        <w:t xml:space="preserve"> due June 15, 2023, 5:00pm</w:t>
      </w:r>
    </w:p>
    <w:tbl>
      <w:tblPr>
        <w:tblStyle w:val="TableGrid"/>
        <w:tblpPr w:leftFromText="180" w:rightFromText="180" w:vertAnchor="text" w:horzAnchor="margin" w:tblpY="295"/>
        <w:tblW w:w="0" w:type="auto"/>
        <w:tblLook w:val="04A0" w:firstRow="1" w:lastRow="0" w:firstColumn="1" w:lastColumn="0" w:noHBand="0" w:noVBand="1"/>
      </w:tblPr>
      <w:tblGrid>
        <w:gridCol w:w="4675"/>
        <w:gridCol w:w="4675"/>
      </w:tblGrid>
      <w:tr w:rsidR="005C09BC" w:rsidRPr="005C09BC" w14:paraId="0565ADAA" w14:textId="77777777" w:rsidTr="005C09BC">
        <w:tc>
          <w:tcPr>
            <w:tcW w:w="4675" w:type="dxa"/>
          </w:tcPr>
          <w:p w14:paraId="3BC9A10C" w14:textId="77777777" w:rsidR="005C09BC" w:rsidRPr="005C09BC" w:rsidRDefault="005C09BC" w:rsidP="005C09BC">
            <w:pPr>
              <w:jc w:val="center"/>
              <w:rPr>
                <w:sz w:val="20"/>
                <w:szCs w:val="20"/>
              </w:rPr>
            </w:pPr>
            <w:r w:rsidRPr="005C09BC">
              <w:rPr>
                <w:sz w:val="20"/>
                <w:szCs w:val="20"/>
              </w:rPr>
              <w:t>Question</w:t>
            </w:r>
          </w:p>
        </w:tc>
        <w:tc>
          <w:tcPr>
            <w:tcW w:w="4675" w:type="dxa"/>
          </w:tcPr>
          <w:p w14:paraId="41341064" w14:textId="77777777" w:rsidR="005C09BC" w:rsidRPr="005C09BC" w:rsidRDefault="005C09BC" w:rsidP="005C09BC">
            <w:pPr>
              <w:jc w:val="center"/>
              <w:rPr>
                <w:sz w:val="20"/>
                <w:szCs w:val="20"/>
              </w:rPr>
            </w:pPr>
            <w:r w:rsidRPr="005C09BC">
              <w:rPr>
                <w:sz w:val="20"/>
                <w:szCs w:val="20"/>
              </w:rPr>
              <w:t>Answer</w:t>
            </w:r>
          </w:p>
        </w:tc>
      </w:tr>
      <w:tr w:rsidR="005C09BC" w:rsidRPr="005C09BC" w14:paraId="1E3B66B8" w14:textId="77777777" w:rsidTr="005C09BC">
        <w:tc>
          <w:tcPr>
            <w:tcW w:w="4675" w:type="dxa"/>
          </w:tcPr>
          <w:p w14:paraId="28C4045D" w14:textId="77777777" w:rsidR="005C09BC" w:rsidRPr="005C09BC" w:rsidRDefault="005C09BC" w:rsidP="005C09BC">
            <w:pPr>
              <w:jc w:val="center"/>
              <w:rPr>
                <w:sz w:val="20"/>
                <w:szCs w:val="20"/>
              </w:rPr>
            </w:pPr>
            <w:r w:rsidRPr="005C09BC">
              <w:rPr>
                <w:sz w:val="20"/>
                <w:szCs w:val="20"/>
              </w:rPr>
              <w:t>Discuss Cost Per Component workbook spreadsheet</w:t>
            </w:r>
          </w:p>
        </w:tc>
        <w:tc>
          <w:tcPr>
            <w:tcW w:w="4675" w:type="dxa"/>
          </w:tcPr>
          <w:p w14:paraId="02E820B5" w14:textId="77777777" w:rsidR="005C09BC" w:rsidRPr="005C09BC" w:rsidRDefault="005C09BC" w:rsidP="005C09BC">
            <w:pPr>
              <w:jc w:val="center"/>
              <w:rPr>
                <w:sz w:val="20"/>
                <w:szCs w:val="20"/>
              </w:rPr>
            </w:pPr>
            <w:r w:rsidRPr="005C09BC">
              <w:rPr>
                <w:sz w:val="20"/>
                <w:szCs w:val="20"/>
              </w:rPr>
              <w:t>State Staff provided an overview of the cost per component workbook</w:t>
            </w:r>
          </w:p>
        </w:tc>
      </w:tr>
      <w:tr w:rsidR="005C09BC" w:rsidRPr="005C09BC" w14:paraId="329E9CAE" w14:textId="77777777" w:rsidTr="005C09BC">
        <w:tc>
          <w:tcPr>
            <w:tcW w:w="4675" w:type="dxa"/>
          </w:tcPr>
          <w:p w14:paraId="67E065B4" w14:textId="77777777" w:rsidR="005C09BC" w:rsidRPr="005C09BC" w:rsidRDefault="005C09BC" w:rsidP="005C09BC">
            <w:pPr>
              <w:jc w:val="center"/>
              <w:rPr>
                <w:rFonts w:ascii="Calibri" w:hAnsi="Calibri" w:cs="Calibri"/>
                <w:color w:val="000000"/>
                <w:sz w:val="20"/>
                <w:szCs w:val="20"/>
              </w:rPr>
            </w:pPr>
            <w:r w:rsidRPr="005C09BC">
              <w:rPr>
                <w:rFonts w:ascii="Calibri" w:hAnsi="Calibri" w:cs="Calibri"/>
                <w:color w:val="000000"/>
                <w:sz w:val="20"/>
                <w:szCs w:val="20"/>
              </w:rPr>
              <w:t xml:space="preserve">Who is responsible for completing the Cost Parity Certification form? </w:t>
            </w:r>
          </w:p>
          <w:p w14:paraId="26AA9876" w14:textId="77777777" w:rsidR="005C09BC" w:rsidRPr="005C09BC" w:rsidRDefault="005C09BC" w:rsidP="005C09BC">
            <w:pPr>
              <w:jc w:val="center"/>
              <w:rPr>
                <w:sz w:val="20"/>
                <w:szCs w:val="20"/>
              </w:rPr>
            </w:pPr>
          </w:p>
        </w:tc>
        <w:tc>
          <w:tcPr>
            <w:tcW w:w="4675" w:type="dxa"/>
          </w:tcPr>
          <w:p w14:paraId="79A7BA2F" w14:textId="77777777" w:rsidR="005C09BC" w:rsidRPr="005C09BC" w:rsidRDefault="005C09BC" w:rsidP="005C09BC">
            <w:pPr>
              <w:jc w:val="center"/>
              <w:rPr>
                <w:sz w:val="20"/>
                <w:szCs w:val="20"/>
              </w:rPr>
            </w:pPr>
            <w:r w:rsidRPr="005C09BC">
              <w:rPr>
                <w:sz w:val="20"/>
                <w:szCs w:val="20"/>
              </w:rPr>
              <w:t xml:space="preserve">The Cost Parity Certification would be signed by the County Director. </w:t>
            </w:r>
          </w:p>
        </w:tc>
      </w:tr>
      <w:tr w:rsidR="005C09BC" w:rsidRPr="005C09BC" w14:paraId="078EAE42" w14:textId="77777777" w:rsidTr="005C09BC">
        <w:tc>
          <w:tcPr>
            <w:tcW w:w="4675" w:type="dxa"/>
          </w:tcPr>
          <w:p w14:paraId="09ED7F94" w14:textId="77777777" w:rsidR="005C09BC" w:rsidRPr="005C09BC" w:rsidRDefault="005C09BC" w:rsidP="005C09BC">
            <w:pPr>
              <w:jc w:val="center"/>
              <w:rPr>
                <w:sz w:val="20"/>
                <w:szCs w:val="20"/>
              </w:rPr>
            </w:pPr>
            <w:r w:rsidRPr="005C09BC">
              <w:rPr>
                <w:sz w:val="20"/>
                <w:szCs w:val="20"/>
              </w:rPr>
              <w:t>Is the Cost per Component Workbook a new requirement for the POA?</w:t>
            </w:r>
          </w:p>
        </w:tc>
        <w:tc>
          <w:tcPr>
            <w:tcW w:w="4675" w:type="dxa"/>
          </w:tcPr>
          <w:p w14:paraId="7744055D" w14:textId="77777777" w:rsidR="005C09BC" w:rsidRPr="005C09BC" w:rsidRDefault="005C09BC" w:rsidP="005C09BC">
            <w:pPr>
              <w:jc w:val="center"/>
              <w:rPr>
                <w:sz w:val="20"/>
                <w:szCs w:val="20"/>
              </w:rPr>
            </w:pPr>
            <w:r w:rsidRPr="005C09BC">
              <w:rPr>
                <w:sz w:val="20"/>
                <w:szCs w:val="20"/>
              </w:rPr>
              <w:t xml:space="preserve">Yes, it is. As part of our FNS E&amp;T State Plan, USDA requires NC to provide a breakdown of the cost per each component to evaluate the return on investment.  </w:t>
            </w:r>
          </w:p>
        </w:tc>
      </w:tr>
      <w:tr w:rsidR="005C09BC" w:rsidRPr="005C09BC" w14:paraId="1BDFA634" w14:textId="77777777" w:rsidTr="005C09BC">
        <w:tc>
          <w:tcPr>
            <w:tcW w:w="4675" w:type="dxa"/>
          </w:tcPr>
          <w:p w14:paraId="07BFDBFE" w14:textId="77777777" w:rsidR="005C09BC" w:rsidRPr="000A7DEE" w:rsidRDefault="005C09BC" w:rsidP="005C09BC">
            <w:pPr>
              <w:spacing w:after="0" w:line="240" w:lineRule="auto"/>
              <w:rPr>
                <w:rFonts w:ascii="Times New Roman" w:eastAsia="Times New Roman" w:hAnsi="Times New Roman" w:cs="Times New Roman"/>
                <w:kern w:val="0"/>
                <w:sz w:val="20"/>
                <w:szCs w:val="20"/>
                <w14:ligatures w14:val="none"/>
              </w:rPr>
            </w:pPr>
            <w:r w:rsidRPr="000A7DEE">
              <w:rPr>
                <w:rFonts w:ascii="Times New Roman" w:eastAsia="Times New Roman" w:hAnsi="Times New Roman" w:cs="Times New Roman"/>
                <w:kern w:val="0"/>
                <w:sz w:val="20"/>
                <w:szCs w:val="20"/>
                <w14:ligatures w14:val="none"/>
              </w:rPr>
              <w:t xml:space="preserve">If we plan to send 15 people to Grace Mar in the coming FFY for vocational training, we do project a cost for this service even though the cost is covered by Grace-Mar? Although the training is covered, there is case management time that will be spent on the client throughout the duration of their training. </w:t>
            </w:r>
          </w:p>
          <w:p w14:paraId="666753B9" w14:textId="77777777" w:rsidR="005C09BC" w:rsidRPr="005C09BC" w:rsidRDefault="005C09BC" w:rsidP="005C09BC">
            <w:pPr>
              <w:jc w:val="center"/>
              <w:rPr>
                <w:sz w:val="20"/>
                <w:szCs w:val="20"/>
              </w:rPr>
            </w:pPr>
          </w:p>
        </w:tc>
        <w:tc>
          <w:tcPr>
            <w:tcW w:w="4675" w:type="dxa"/>
          </w:tcPr>
          <w:p w14:paraId="2503BFBE" w14:textId="77777777" w:rsidR="005C09BC" w:rsidRPr="005C09BC" w:rsidRDefault="005C09BC" w:rsidP="005C09BC">
            <w:pPr>
              <w:jc w:val="center"/>
              <w:rPr>
                <w:sz w:val="20"/>
                <w:szCs w:val="20"/>
              </w:rPr>
            </w:pPr>
            <w:r w:rsidRPr="005C09BC">
              <w:rPr>
                <w:sz w:val="20"/>
                <w:szCs w:val="20"/>
              </w:rPr>
              <w:t xml:space="preserve">Yes, project the case management percentage of time for each component.  The provider will calculate their part of the cost for the component. </w:t>
            </w:r>
          </w:p>
        </w:tc>
      </w:tr>
      <w:tr w:rsidR="005C09BC" w:rsidRPr="005C09BC" w14:paraId="3779F68A" w14:textId="77777777" w:rsidTr="005C09BC">
        <w:tc>
          <w:tcPr>
            <w:tcW w:w="4675" w:type="dxa"/>
          </w:tcPr>
          <w:p w14:paraId="6DF7EBFC" w14:textId="77777777" w:rsidR="005C09BC" w:rsidRPr="005C09BC" w:rsidRDefault="005C09BC" w:rsidP="005C09BC">
            <w:pPr>
              <w:jc w:val="center"/>
              <w:rPr>
                <w:sz w:val="20"/>
                <w:szCs w:val="20"/>
              </w:rPr>
            </w:pPr>
            <w:r w:rsidRPr="005C09BC">
              <w:rPr>
                <w:rFonts w:ascii="Calibri" w:hAnsi="Calibri" w:cs="Calibri"/>
                <w:color w:val="444444"/>
                <w:sz w:val="20"/>
                <w:szCs w:val="20"/>
                <w:shd w:val="clear" w:color="auto" w:fill="FFFFFF"/>
              </w:rPr>
              <w:t xml:space="preserve">A few of the people pulled for review are situations that did not fit well within the E&amp;T employment plan process. They required outside referrals and were a challenge for us. We are concerned there may be findings for not doing something </w:t>
            </w:r>
            <w:proofErr w:type="gramStart"/>
            <w:r w:rsidRPr="005C09BC">
              <w:rPr>
                <w:rFonts w:ascii="Calibri" w:hAnsi="Calibri" w:cs="Calibri"/>
                <w:color w:val="444444"/>
                <w:sz w:val="20"/>
                <w:szCs w:val="20"/>
                <w:shd w:val="clear" w:color="auto" w:fill="FFFFFF"/>
              </w:rPr>
              <w:t>but in reality, there</w:t>
            </w:r>
            <w:proofErr w:type="gramEnd"/>
            <w:r w:rsidRPr="005C09BC">
              <w:rPr>
                <w:rFonts w:ascii="Calibri" w:hAnsi="Calibri" w:cs="Calibri"/>
                <w:color w:val="444444"/>
                <w:sz w:val="20"/>
                <w:szCs w:val="20"/>
                <w:shd w:val="clear" w:color="auto" w:fill="FFFFFF"/>
              </w:rPr>
              <w:t xml:space="preserve"> was a transition in their case. Will we be able to use some of these participants as launching points to questions from which we can learn without concern for negative findings?”</w:t>
            </w:r>
          </w:p>
        </w:tc>
        <w:tc>
          <w:tcPr>
            <w:tcW w:w="4675" w:type="dxa"/>
          </w:tcPr>
          <w:p w14:paraId="5B250D3E" w14:textId="77777777" w:rsidR="005C09BC" w:rsidRPr="005C09BC" w:rsidRDefault="005C09BC" w:rsidP="005C09BC">
            <w:pPr>
              <w:jc w:val="center"/>
              <w:rPr>
                <w:sz w:val="20"/>
                <w:szCs w:val="20"/>
              </w:rPr>
            </w:pPr>
            <w:r w:rsidRPr="005C09BC">
              <w:rPr>
                <w:sz w:val="20"/>
                <w:szCs w:val="20"/>
              </w:rPr>
              <w:t>If a referral is found not to be suitable for FNS E&amp;</w:t>
            </w:r>
            <w:proofErr w:type="gramStart"/>
            <w:r w:rsidRPr="005C09BC">
              <w:rPr>
                <w:sz w:val="20"/>
                <w:szCs w:val="20"/>
              </w:rPr>
              <w:t>T</w:t>
            </w:r>
            <w:proofErr w:type="gramEnd"/>
            <w:r w:rsidRPr="005C09BC">
              <w:rPr>
                <w:sz w:val="20"/>
                <w:szCs w:val="20"/>
              </w:rPr>
              <w:t xml:space="preserve"> then please make sure that DSS Eligibility staff is made aware of this. The DSS Eligibility staff will need to reassess the individual for additional options to better meet the individual’s needs.  This process is called Provider Determination. We will discuss this more at the Quarterly meeting in July 2023.</w:t>
            </w:r>
          </w:p>
        </w:tc>
      </w:tr>
      <w:tr w:rsidR="005C09BC" w:rsidRPr="005C09BC" w14:paraId="444F7A8C" w14:textId="77777777" w:rsidTr="005C09BC">
        <w:tc>
          <w:tcPr>
            <w:tcW w:w="4675" w:type="dxa"/>
          </w:tcPr>
          <w:p w14:paraId="5CF3DF01" w14:textId="77777777" w:rsidR="005C09BC" w:rsidRPr="005C09BC" w:rsidRDefault="005C09BC" w:rsidP="005C09BC">
            <w:pPr>
              <w:jc w:val="center"/>
              <w:rPr>
                <w:sz w:val="20"/>
                <w:szCs w:val="20"/>
              </w:rPr>
            </w:pPr>
            <w:r w:rsidRPr="005C09BC">
              <w:rPr>
                <w:sz w:val="20"/>
                <w:szCs w:val="20"/>
              </w:rPr>
              <w:t>Need for Extra Spreadsheet</w:t>
            </w:r>
          </w:p>
        </w:tc>
        <w:tc>
          <w:tcPr>
            <w:tcW w:w="4675" w:type="dxa"/>
          </w:tcPr>
          <w:p w14:paraId="12BEFF29" w14:textId="77777777" w:rsidR="005C09BC" w:rsidRPr="005C09BC" w:rsidRDefault="005C09BC" w:rsidP="005C09BC">
            <w:pPr>
              <w:jc w:val="center"/>
              <w:rPr>
                <w:sz w:val="20"/>
                <w:szCs w:val="20"/>
              </w:rPr>
            </w:pPr>
            <w:r w:rsidRPr="005C09BC">
              <w:rPr>
                <w:sz w:val="20"/>
                <w:szCs w:val="20"/>
              </w:rPr>
              <w:t xml:space="preserve">Please reach out to the </w:t>
            </w:r>
            <w:hyperlink r:id="rId4" w:history="1">
              <w:r w:rsidRPr="005C09BC">
                <w:rPr>
                  <w:rStyle w:val="Hyperlink"/>
                  <w:sz w:val="20"/>
                  <w:szCs w:val="20"/>
                </w:rPr>
                <w:t>FNSEandT@dhhs.nc.gov</w:t>
              </w:r>
            </w:hyperlink>
            <w:r w:rsidRPr="005C09BC">
              <w:rPr>
                <w:sz w:val="20"/>
                <w:szCs w:val="20"/>
              </w:rPr>
              <w:t xml:space="preserve"> website for assistance.</w:t>
            </w:r>
          </w:p>
        </w:tc>
      </w:tr>
      <w:tr w:rsidR="005C09BC" w:rsidRPr="005C09BC" w14:paraId="43226A3A" w14:textId="77777777" w:rsidTr="005C09BC">
        <w:tc>
          <w:tcPr>
            <w:tcW w:w="4675" w:type="dxa"/>
          </w:tcPr>
          <w:p w14:paraId="381D1E9B" w14:textId="77777777" w:rsidR="005C09BC" w:rsidRPr="005C09BC" w:rsidRDefault="005C09BC" w:rsidP="005C09BC">
            <w:pPr>
              <w:jc w:val="center"/>
              <w:rPr>
                <w:sz w:val="20"/>
                <w:szCs w:val="20"/>
              </w:rPr>
            </w:pPr>
            <w:r w:rsidRPr="005C09BC">
              <w:rPr>
                <w:sz w:val="20"/>
                <w:szCs w:val="20"/>
              </w:rPr>
              <w:t>Is it required for Providers to review and sign the County POA?</w:t>
            </w:r>
          </w:p>
        </w:tc>
        <w:tc>
          <w:tcPr>
            <w:tcW w:w="4675" w:type="dxa"/>
          </w:tcPr>
          <w:p w14:paraId="502C00AA" w14:textId="77777777" w:rsidR="005C09BC" w:rsidRPr="005C09BC" w:rsidRDefault="005C09BC" w:rsidP="005C09BC">
            <w:pPr>
              <w:jc w:val="center"/>
              <w:rPr>
                <w:sz w:val="20"/>
                <w:szCs w:val="20"/>
              </w:rPr>
            </w:pPr>
            <w:r w:rsidRPr="005C09BC">
              <w:rPr>
                <w:sz w:val="20"/>
                <w:szCs w:val="20"/>
              </w:rPr>
              <w:t>Yes</w:t>
            </w:r>
          </w:p>
        </w:tc>
      </w:tr>
      <w:tr w:rsidR="005C09BC" w:rsidRPr="005C09BC" w14:paraId="6E4A02D2" w14:textId="77777777" w:rsidTr="005C09BC">
        <w:tc>
          <w:tcPr>
            <w:tcW w:w="4675" w:type="dxa"/>
          </w:tcPr>
          <w:p w14:paraId="1A51FF33" w14:textId="77777777" w:rsidR="005C09BC" w:rsidRPr="005C09BC" w:rsidRDefault="005C09BC" w:rsidP="005C09BC">
            <w:pPr>
              <w:jc w:val="center"/>
              <w:rPr>
                <w:sz w:val="20"/>
                <w:szCs w:val="20"/>
              </w:rPr>
            </w:pPr>
            <w:r w:rsidRPr="005C09BC">
              <w:rPr>
                <w:sz w:val="20"/>
                <w:szCs w:val="20"/>
              </w:rPr>
              <w:t>Does a E&amp;T Provider need to be included in the POA?</w:t>
            </w:r>
          </w:p>
        </w:tc>
        <w:tc>
          <w:tcPr>
            <w:tcW w:w="4675" w:type="dxa"/>
          </w:tcPr>
          <w:p w14:paraId="56B80FFB" w14:textId="77777777" w:rsidR="005C09BC" w:rsidRPr="005C09BC" w:rsidRDefault="005C09BC" w:rsidP="005C09BC">
            <w:pPr>
              <w:jc w:val="center"/>
              <w:rPr>
                <w:sz w:val="20"/>
                <w:szCs w:val="20"/>
              </w:rPr>
            </w:pPr>
            <w:r w:rsidRPr="005C09BC">
              <w:rPr>
                <w:sz w:val="20"/>
                <w:szCs w:val="20"/>
              </w:rPr>
              <w:t>Yes</w:t>
            </w:r>
          </w:p>
        </w:tc>
      </w:tr>
      <w:tr w:rsidR="005C09BC" w:rsidRPr="005C09BC" w14:paraId="2B1410B5" w14:textId="77777777" w:rsidTr="005C09BC">
        <w:tc>
          <w:tcPr>
            <w:tcW w:w="4675" w:type="dxa"/>
          </w:tcPr>
          <w:p w14:paraId="285B2F0C" w14:textId="77777777" w:rsidR="005C09BC" w:rsidRPr="005C09BC" w:rsidRDefault="005C09BC" w:rsidP="005C09BC">
            <w:pPr>
              <w:jc w:val="center"/>
              <w:rPr>
                <w:sz w:val="20"/>
                <w:szCs w:val="20"/>
              </w:rPr>
            </w:pPr>
            <w:r w:rsidRPr="005C09BC">
              <w:rPr>
                <w:sz w:val="20"/>
                <w:szCs w:val="20"/>
              </w:rPr>
              <w:t>Outcomes</w:t>
            </w:r>
          </w:p>
        </w:tc>
        <w:tc>
          <w:tcPr>
            <w:tcW w:w="4675" w:type="dxa"/>
          </w:tcPr>
          <w:p w14:paraId="4D28A378" w14:textId="77777777" w:rsidR="005C09BC" w:rsidRPr="005C09BC" w:rsidRDefault="005C09BC" w:rsidP="005C09BC">
            <w:pPr>
              <w:jc w:val="center"/>
              <w:rPr>
                <w:sz w:val="20"/>
                <w:szCs w:val="20"/>
              </w:rPr>
            </w:pPr>
            <w:r w:rsidRPr="005C09BC">
              <w:rPr>
                <w:sz w:val="20"/>
                <w:szCs w:val="20"/>
              </w:rPr>
              <w:t xml:space="preserve">Please provide the counties outcomes for October 1, </w:t>
            </w:r>
            <w:proofErr w:type="gramStart"/>
            <w:r w:rsidRPr="005C09BC">
              <w:rPr>
                <w:sz w:val="20"/>
                <w:szCs w:val="20"/>
              </w:rPr>
              <w:t>2021</w:t>
            </w:r>
            <w:proofErr w:type="gramEnd"/>
            <w:r w:rsidRPr="005C09BC">
              <w:rPr>
                <w:sz w:val="20"/>
                <w:szCs w:val="20"/>
              </w:rPr>
              <w:t xml:space="preserve"> </w:t>
            </w:r>
            <w:proofErr w:type="gramStart"/>
            <w:r w:rsidRPr="005C09BC">
              <w:rPr>
                <w:sz w:val="20"/>
                <w:szCs w:val="20"/>
              </w:rPr>
              <w:t>thru</w:t>
            </w:r>
            <w:proofErr w:type="gramEnd"/>
            <w:r w:rsidRPr="005C09BC">
              <w:rPr>
                <w:sz w:val="20"/>
                <w:szCs w:val="20"/>
              </w:rPr>
              <w:t xml:space="preserve"> September 30, 2022.  If a county would like assistance with running a report in </w:t>
            </w:r>
            <w:proofErr w:type="gramStart"/>
            <w:r w:rsidRPr="005C09BC">
              <w:rPr>
                <w:sz w:val="20"/>
                <w:szCs w:val="20"/>
              </w:rPr>
              <w:t>NC Works</w:t>
            </w:r>
            <w:proofErr w:type="gramEnd"/>
            <w:r w:rsidRPr="005C09BC">
              <w:rPr>
                <w:sz w:val="20"/>
                <w:szCs w:val="20"/>
              </w:rPr>
              <w:t xml:space="preserve"> please email </w:t>
            </w:r>
            <w:hyperlink r:id="rId5" w:history="1">
              <w:r w:rsidRPr="005C09BC">
                <w:rPr>
                  <w:rStyle w:val="Hyperlink"/>
                  <w:sz w:val="20"/>
                  <w:szCs w:val="20"/>
                </w:rPr>
                <w:t>FNSEandT@dhhs.nc.gov</w:t>
              </w:r>
            </w:hyperlink>
          </w:p>
        </w:tc>
      </w:tr>
      <w:tr w:rsidR="005C09BC" w:rsidRPr="005C09BC" w14:paraId="06C30D54" w14:textId="77777777" w:rsidTr="005C09BC">
        <w:tc>
          <w:tcPr>
            <w:tcW w:w="4675" w:type="dxa"/>
          </w:tcPr>
          <w:p w14:paraId="3BD1A8A0" w14:textId="77777777" w:rsidR="005C09BC" w:rsidRPr="005C09BC" w:rsidRDefault="005C09BC" w:rsidP="005C09BC">
            <w:pPr>
              <w:jc w:val="center"/>
              <w:rPr>
                <w:sz w:val="20"/>
                <w:szCs w:val="20"/>
              </w:rPr>
            </w:pPr>
            <w:r w:rsidRPr="005C09BC">
              <w:rPr>
                <w:sz w:val="20"/>
                <w:szCs w:val="20"/>
              </w:rPr>
              <w:t>1:1 TA for POA</w:t>
            </w:r>
          </w:p>
        </w:tc>
        <w:tc>
          <w:tcPr>
            <w:tcW w:w="4675" w:type="dxa"/>
          </w:tcPr>
          <w:p w14:paraId="753ED6CB" w14:textId="77777777" w:rsidR="005C09BC" w:rsidRPr="005C09BC" w:rsidRDefault="005C09BC" w:rsidP="005C09BC">
            <w:pPr>
              <w:jc w:val="center"/>
              <w:rPr>
                <w:sz w:val="20"/>
                <w:szCs w:val="20"/>
              </w:rPr>
            </w:pPr>
            <w:r w:rsidRPr="005C09BC">
              <w:rPr>
                <w:sz w:val="20"/>
                <w:szCs w:val="20"/>
              </w:rPr>
              <w:t xml:space="preserve">If any county would like a 1:1 TA to review any additional POA questions, please send 2 dates and times to consider and email: </w:t>
            </w:r>
            <w:hyperlink r:id="rId6" w:history="1">
              <w:r w:rsidRPr="005C09BC">
                <w:rPr>
                  <w:rStyle w:val="Hyperlink"/>
                  <w:sz w:val="20"/>
                  <w:szCs w:val="20"/>
                </w:rPr>
                <w:t>FNSEandT@dhhs.nc.gov</w:t>
              </w:r>
            </w:hyperlink>
          </w:p>
        </w:tc>
      </w:tr>
    </w:tbl>
    <w:p w14:paraId="3C6607EB" w14:textId="53C8C9B3" w:rsidR="000A7DEE" w:rsidRPr="005C09BC" w:rsidRDefault="005C09BC" w:rsidP="000A7DEE">
      <w:pPr>
        <w:jc w:val="center"/>
        <w:rPr>
          <w:sz w:val="20"/>
          <w:szCs w:val="20"/>
        </w:rPr>
      </w:pPr>
      <w:r w:rsidRPr="005C09BC">
        <w:rPr>
          <w:sz w:val="20"/>
          <w:szCs w:val="20"/>
        </w:rPr>
        <w:t xml:space="preserve"> </w:t>
      </w:r>
    </w:p>
    <w:p w14:paraId="182A7CC5" w14:textId="77777777" w:rsidR="000A7DEE" w:rsidRPr="005C09BC" w:rsidRDefault="000A7DEE" w:rsidP="000A7DEE">
      <w:pPr>
        <w:jc w:val="center"/>
        <w:rPr>
          <w:sz w:val="20"/>
          <w:szCs w:val="20"/>
        </w:rPr>
      </w:pPr>
    </w:p>
    <w:p w14:paraId="187AABE7" w14:textId="77777777" w:rsidR="000A7DEE" w:rsidRPr="005C09BC" w:rsidRDefault="000A7DEE" w:rsidP="000A7DEE">
      <w:pPr>
        <w:jc w:val="center"/>
        <w:rPr>
          <w:sz w:val="20"/>
          <w:szCs w:val="20"/>
        </w:rPr>
      </w:pPr>
    </w:p>
    <w:sectPr w:rsidR="000A7DEE" w:rsidRPr="005C0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EE"/>
    <w:rsid w:val="000A7DEE"/>
    <w:rsid w:val="003E3EAA"/>
    <w:rsid w:val="005C09BC"/>
    <w:rsid w:val="007042C3"/>
    <w:rsid w:val="009F6D04"/>
    <w:rsid w:val="00F0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8A94"/>
  <w15:chartTrackingRefBased/>
  <w15:docId w15:val="{1B1C45BB-ACA0-4C95-AE1E-DDF8D895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7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42C3"/>
    <w:rPr>
      <w:color w:val="0563C1" w:themeColor="hyperlink"/>
      <w:u w:val="single"/>
    </w:rPr>
  </w:style>
  <w:style w:type="character" w:styleId="UnresolvedMention">
    <w:name w:val="Unresolved Mention"/>
    <w:basedOn w:val="DefaultParagraphFont"/>
    <w:uiPriority w:val="99"/>
    <w:semiHidden/>
    <w:unhideWhenUsed/>
    <w:rsid w:val="00704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52549">
      <w:bodyDiv w:val="1"/>
      <w:marLeft w:val="0"/>
      <w:marRight w:val="0"/>
      <w:marTop w:val="0"/>
      <w:marBottom w:val="0"/>
      <w:divBdr>
        <w:top w:val="none" w:sz="0" w:space="0" w:color="auto"/>
        <w:left w:val="none" w:sz="0" w:space="0" w:color="auto"/>
        <w:bottom w:val="none" w:sz="0" w:space="0" w:color="auto"/>
        <w:right w:val="none" w:sz="0" w:space="0" w:color="auto"/>
      </w:divBdr>
      <w:divsChild>
        <w:div w:id="1617328276">
          <w:marLeft w:val="0"/>
          <w:marRight w:val="0"/>
          <w:marTop w:val="0"/>
          <w:marBottom w:val="0"/>
          <w:divBdr>
            <w:top w:val="none" w:sz="0" w:space="0" w:color="auto"/>
            <w:left w:val="none" w:sz="0" w:space="0" w:color="auto"/>
            <w:bottom w:val="none" w:sz="0" w:space="0" w:color="auto"/>
            <w:right w:val="none" w:sz="0" w:space="0" w:color="auto"/>
          </w:divBdr>
        </w:div>
      </w:divsChild>
    </w:div>
    <w:div w:id="1823890517">
      <w:bodyDiv w:val="1"/>
      <w:marLeft w:val="0"/>
      <w:marRight w:val="0"/>
      <w:marTop w:val="0"/>
      <w:marBottom w:val="0"/>
      <w:divBdr>
        <w:top w:val="none" w:sz="0" w:space="0" w:color="auto"/>
        <w:left w:val="none" w:sz="0" w:space="0" w:color="auto"/>
        <w:bottom w:val="none" w:sz="0" w:space="0" w:color="auto"/>
        <w:right w:val="none" w:sz="0" w:space="0" w:color="auto"/>
      </w:divBdr>
      <w:divsChild>
        <w:div w:id="137648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NSEandT@dhhs.nc.gov" TargetMode="External"/><Relationship Id="rId5" Type="http://schemas.openxmlformats.org/officeDocument/2006/relationships/hyperlink" Target="mailto:FNSEandT@dhhs.nc.gov" TargetMode="External"/><Relationship Id="rId4" Type="http://schemas.openxmlformats.org/officeDocument/2006/relationships/hyperlink" Target="mailto:FNSEandT@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Jefferies, Nikia T</dc:creator>
  <cp:keywords/>
  <dc:description/>
  <cp:lastModifiedBy>Jefferies, Nikia T</cp:lastModifiedBy>
  <cp:revision>1</cp:revision>
  <dcterms:created xsi:type="dcterms:W3CDTF">2023-05-30T17:39:00Z</dcterms:created>
  <dcterms:modified xsi:type="dcterms:W3CDTF">2023-05-30T18:02:00Z</dcterms:modified>
</cp:coreProperties>
</file>