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82A" w14:textId="2C381B80" w:rsidR="00FE277F" w:rsidRPr="0072200B" w:rsidRDefault="0072200B" w:rsidP="0020199F">
      <w:pPr>
        <w:jc w:val="center"/>
        <w:rPr>
          <w:b/>
          <w:sz w:val="30"/>
          <w:szCs w:val="30"/>
        </w:rPr>
      </w:pPr>
      <w:r w:rsidRPr="0072200B">
        <w:rPr>
          <w:b/>
          <w:sz w:val="30"/>
          <w:szCs w:val="30"/>
        </w:rPr>
        <w:t>3.7</w:t>
      </w:r>
      <w:r w:rsidR="00EE1CDD">
        <w:rPr>
          <w:b/>
          <w:sz w:val="30"/>
          <w:szCs w:val="30"/>
        </w:rPr>
        <w:t>A</w:t>
      </w:r>
      <w:r w:rsidR="00C10021" w:rsidRPr="0072200B">
        <w:rPr>
          <w:b/>
          <w:sz w:val="30"/>
          <w:szCs w:val="30"/>
        </w:rPr>
        <w:t xml:space="preserve"> </w:t>
      </w:r>
      <w:r w:rsidR="00FE277F" w:rsidRPr="0072200B">
        <w:rPr>
          <w:b/>
          <w:sz w:val="30"/>
          <w:szCs w:val="30"/>
        </w:rPr>
        <w:t xml:space="preserve">NC ESG </w:t>
      </w:r>
      <w:r w:rsidR="00EE1CDD">
        <w:rPr>
          <w:b/>
          <w:sz w:val="30"/>
          <w:szCs w:val="30"/>
        </w:rPr>
        <w:t xml:space="preserve">Recertification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6A63FD8A" w:rsidR="0017453B" w:rsidRDefault="00EE1CDD" w:rsidP="008B062C">
      <w:pPr>
        <w:spacing w:after="0" w:line="240" w:lineRule="auto"/>
      </w:pPr>
      <w:r>
        <w:rPr>
          <w:noProof/>
        </w:rPr>
        <mc:AlternateContent>
          <mc:Choice Requires="wps">
            <w:drawing>
              <wp:anchor distT="45720" distB="45720" distL="114300" distR="114300" simplePos="0" relativeHeight="251659264" behindDoc="1" locked="0" layoutInCell="1" allowOverlap="1" wp14:anchorId="0BD7FE30" wp14:editId="12147097">
                <wp:simplePos x="0" y="0"/>
                <wp:positionH relativeFrom="column">
                  <wp:posOffset>1238250</wp:posOffset>
                </wp:positionH>
                <wp:positionV relativeFrom="paragraph">
                  <wp:posOffset>66675</wp:posOffset>
                </wp:positionV>
                <wp:extent cx="4076700" cy="581025"/>
                <wp:effectExtent l="0" t="0" r="19050" b="28575"/>
                <wp:wrapTight wrapText="bothSides">
                  <wp:wrapPolygon edited="0">
                    <wp:start x="0" y="0"/>
                    <wp:lineTo x="0" y="21954"/>
                    <wp:lineTo x="21600" y="2195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81025"/>
                        </a:xfrm>
                        <a:prstGeom prst="rect">
                          <a:avLst/>
                        </a:prstGeom>
                        <a:solidFill>
                          <a:srgbClr val="FFFFFF"/>
                        </a:solidFill>
                        <a:ln w="9525">
                          <a:solidFill>
                            <a:srgbClr val="000000"/>
                          </a:solidFill>
                          <a:miter lim="800000"/>
                          <a:headEnd/>
                          <a:tailEnd/>
                        </a:ln>
                      </wps:spPr>
                      <wps:txb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7FE30" id="_x0000_t202" coordsize="21600,21600" o:spt="202" path="m,l,21600r21600,l21600,xe">
                <v:stroke joinstyle="miter"/>
                <v:path gradientshapeok="t" o:connecttype="rect"/>
              </v:shapetype>
              <v:shape id="Text Box 2" o:spid="_x0000_s1026" type="#_x0000_t202" style="position:absolute;margin-left:97.5pt;margin-top:5.25pt;width:321pt;height:4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DgIAAB8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">
                <v:textbo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v:textbox>
                <w10:wrap type="tight"/>
              </v:shape>
            </w:pict>
          </mc:Fallback>
        </mc:AlternateContent>
      </w:r>
    </w:p>
    <w:p w14:paraId="12DDCB24" w14:textId="61C6F287" w:rsidR="00EE1CDD" w:rsidRDefault="00EE1CDD" w:rsidP="008B062C">
      <w:pPr>
        <w:spacing w:after="0" w:line="240" w:lineRule="auto"/>
      </w:pPr>
    </w:p>
    <w:p w14:paraId="285305B4" w14:textId="163B3E4F" w:rsidR="00EE1CDD" w:rsidRDefault="00EE1CDD" w:rsidP="008B062C">
      <w:pPr>
        <w:spacing w:after="0" w:line="240" w:lineRule="auto"/>
      </w:pPr>
    </w:p>
    <w:p w14:paraId="3A6A23A7" w14:textId="77777777" w:rsidR="00EE1CDD" w:rsidRDefault="00EE1CDD" w:rsidP="003A3E02"/>
    <w:p w14:paraId="066F01EB" w14:textId="09A5D85D"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06F16">
            <w:pPr>
              <w:spacing w:after="0" w:line="240" w:lineRule="auto"/>
              <w:jc w:val="center"/>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77777777" w:rsidR="0017453B" w:rsidRPr="0062743D" w:rsidRDefault="0017453B" w:rsidP="0072200B">
            <w:pPr>
              <w:spacing w:after="0" w:line="240" w:lineRule="auto"/>
              <w:ind w:firstLine="720"/>
              <w:rPr>
                <w:sz w:val="30"/>
                <w:szCs w:val="30"/>
              </w:rPr>
            </w:pP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0BF" w14:textId="3AC0EF23"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804E09">
      <w:rPr>
        <w:sz w:val="16"/>
        <w:szCs w:val="16"/>
      </w:rPr>
      <w:t>5</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0926941">
    <w:abstractNumId w:val="5"/>
  </w:num>
  <w:num w:numId="2" w16cid:durableId="1256131236">
    <w:abstractNumId w:val="4"/>
  </w:num>
  <w:num w:numId="3" w16cid:durableId="497841484">
    <w:abstractNumId w:val="2"/>
  </w:num>
  <w:num w:numId="4" w16cid:durableId="1695231152">
    <w:abstractNumId w:val="0"/>
  </w:num>
  <w:num w:numId="5" w16cid:durableId="1762943539">
    <w:abstractNumId w:val="1"/>
  </w:num>
  <w:num w:numId="6" w16cid:durableId="514655701">
    <w:abstractNumId w:val="6"/>
  </w:num>
  <w:num w:numId="7" w16cid:durableId="104001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06F16"/>
    <w:rsid w:val="00013331"/>
    <w:rsid w:val="00045EE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04E09"/>
    <w:rsid w:val="008137C4"/>
    <w:rsid w:val="008151B6"/>
    <w:rsid w:val="008342E3"/>
    <w:rsid w:val="00841A59"/>
    <w:rsid w:val="00855A17"/>
    <w:rsid w:val="008578B9"/>
    <w:rsid w:val="00874E3F"/>
    <w:rsid w:val="008917EA"/>
    <w:rsid w:val="0089479A"/>
    <w:rsid w:val="008B062C"/>
    <w:rsid w:val="008C335C"/>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1CDD"/>
    <w:rsid w:val="00EE5C4E"/>
    <w:rsid w:val="00EE68DA"/>
    <w:rsid w:val="00F3571B"/>
    <w:rsid w:val="00F3582D"/>
    <w:rsid w:val="00F43E93"/>
    <w:rsid w:val="00F46773"/>
    <w:rsid w:val="00F66E59"/>
    <w:rsid w:val="00F71AA1"/>
    <w:rsid w:val="00F95EB0"/>
    <w:rsid w:val="00FD1158"/>
    <w:rsid w:val="00FE277F"/>
    <w:rsid w:val="00FE3B36"/>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2024-01-10T14:49:00Z</dcterms:created>
  <dcterms:modified xsi:type="dcterms:W3CDTF">2025-01-17T15:36:00Z</dcterms:modified>
</cp:coreProperties>
</file>