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1E3360" w:rsidRPr="00C421DF" w14:paraId="16B756DF" w14:textId="77777777" w:rsidTr="00C81B7A">
        <w:tc>
          <w:tcPr>
            <w:tcW w:w="0" w:type="auto"/>
            <w:shd w:val="clear" w:color="auto" w:fill="FFFFFF"/>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1E3360" w:rsidRPr="00C421DF" w14:paraId="6EB3248F" w14:textId="77777777">
              <w:tc>
                <w:tcPr>
                  <w:tcW w:w="9000" w:type="dxa"/>
                  <w:hideMark/>
                </w:tcPr>
                <w:p w14:paraId="270D4A24" w14:textId="0790F681" w:rsidR="0009673A" w:rsidRDefault="0009673A">
                  <w:r>
                    <w:rPr>
                      <w:noProof/>
                    </w:rPr>
                    <w:drawing>
                      <wp:inline distT="0" distB="0" distL="0" distR="0" wp14:anchorId="5F4D6716" wp14:editId="3778A7FC">
                        <wp:extent cx="5715000" cy="1781175"/>
                        <wp:effectExtent l="0" t="0" r="0" b="9525"/>
                        <wp:docPr id="4" name="Picture 4" descr="https://gallery.mailchimp.com/58ec19aaea4630b1baad0e5e4/images/5facf330-33c9-49cd-9066-9db7ebbbff39.jpg"/>
                        <wp:cNvGraphicFramePr/>
                        <a:graphic xmlns:a="http://schemas.openxmlformats.org/drawingml/2006/main">
                          <a:graphicData uri="http://schemas.openxmlformats.org/drawingml/2006/picture">
                            <pic:pic xmlns:pic="http://schemas.openxmlformats.org/drawingml/2006/picture">
                              <pic:nvPicPr>
                                <pic:cNvPr id="4" name="Picture 4" descr="https://gallery.mailchimp.com/58ec19aaea4630b1baad0e5e4/images/5facf330-33c9-49cd-9066-9db7ebbbff39.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781175"/>
                                </a:xfrm>
                                <a:prstGeom prst="rect">
                                  <a:avLst/>
                                </a:prstGeom>
                                <a:noFill/>
                                <a:ln>
                                  <a:noFill/>
                                </a:ln>
                              </pic:spPr>
                            </pic:pic>
                          </a:graphicData>
                        </a:graphic>
                      </wp:inline>
                    </w:drawing>
                  </w:r>
                </w:p>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E3360" w:rsidRPr="00C421DF" w14:paraId="4F975357" w14:textId="77777777">
                    <w:tc>
                      <w:tcPr>
                        <w:tcW w:w="0" w:type="auto"/>
                        <w:tcMar>
                          <w:top w:w="0" w:type="dxa"/>
                          <w:left w:w="270" w:type="dxa"/>
                          <w:bottom w:w="135" w:type="dxa"/>
                          <w:right w:w="270" w:type="dxa"/>
                        </w:tcMar>
                        <w:hideMark/>
                      </w:tcPr>
                      <w:p w14:paraId="11D19754" w14:textId="399BD8AE" w:rsidR="00C81B7A" w:rsidRPr="00C421DF" w:rsidRDefault="00506BA1" w:rsidP="00C81B7A">
                        <w:pPr>
                          <w:spacing w:line="275" w:lineRule="atLeast"/>
                          <w:jc w:val="center"/>
                          <w:rPr>
                            <w:rFonts w:ascii="Calibri" w:eastAsia="Times New Roman" w:hAnsi="Calibri" w:cs="Calibri"/>
                            <w:sz w:val="20"/>
                            <w:szCs w:val="22"/>
                            <w:lang w:val="es-419"/>
                          </w:rPr>
                        </w:pPr>
                        <w:r w:rsidRPr="00C421DF">
                          <w:rPr>
                            <w:rFonts w:ascii="Helvetica Neue" w:eastAsia="Helvetica Neue" w:hAnsi="Helvetica Neue" w:cs="Calibri"/>
                            <w:b/>
                            <w:bCs/>
                            <w:color w:val="00376D"/>
                            <w:sz w:val="36"/>
                            <w:szCs w:val="38"/>
                            <w:lang w:val="es-419"/>
                          </w:rPr>
                          <w:t>Ahora, los inmunocomprometidos pueden recibir dosis adicional de vacuna Moderna o Pfizer contra COVID-19</w:t>
                        </w:r>
                      </w:p>
                      <w:tbl>
                        <w:tblPr>
                          <w:tblW w:w="9000" w:type="dxa"/>
                          <w:jc w:val="center"/>
                          <w:tblCellMar>
                            <w:left w:w="0" w:type="dxa"/>
                            <w:right w:w="0" w:type="dxa"/>
                          </w:tblCellMar>
                          <w:tblLook w:val="04A0" w:firstRow="1" w:lastRow="0" w:firstColumn="1" w:lastColumn="0" w:noHBand="0" w:noVBand="1"/>
                        </w:tblPr>
                        <w:tblGrid>
                          <w:gridCol w:w="4500"/>
                          <w:gridCol w:w="4500"/>
                        </w:tblGrid>
                        <w:tr w:rsidR="001E3360" w:rsidRPr="00C421DF" w14:paraId="5EFE7FFF" w14:textId="77777777">
                          <w:trPr>
                            <w:jc w:val="center"/>
                          </w:trPr>
                          <w:tc>
                            <w:tcPr>
                              <w:tcW w:w="2500" w:type="pct"/>
                              <w:tcMar>
                                <w:top w:w="120" w:type="dxa"/>
                                <w:left w:w="120" w:type="dxa"/>
                                <w:bottom w:w="120" w:type="dxa"/>
                                <w:right w:w="120" w:type="dxa"/>
                              </w:tcMar>
                              <w:hideMark/>
                            </w:tcPr>
                            <w:p w14:paraId="2EA8F2C1" w14:textId="77777777" w:rsidR="00C421DF" w:rsidRDefault="00506BA1" w:rsidP="00C81B7A">
                              <w:pPr>
                                <w:rPr>
                                  <w:rFonts w:ascii="Arial" w:eastAsia="Arial" w:hAnsi="Arial" w:cs="Arial"/>
                                  <w:color w:val="FF0000"/>
                                  <w:sz w:val="21"/>
                                  <w:szCs w:val="21"/>
                                  <w:lang w:val="es-419"/>
                                </w:rPr>
                              </w:pPr>
                              <w:r w:rsidRPr="00C421DF">
                                <w:rPr>
                                  <w:rFonts w:ascii="Arial" w:eastAsia="Arial" w:hAnsi="Arial" w:cs="Arial"/>
                                  <w:color w:val="FF0000"/>
                                  <w:sz w:val="21"/>
                                  <w:szCs w:val="21"/>
                                  <w:lang w:val="es-419"/>
                                </w:rPr>
                                <w:t xml:space="preserve">PARA PUBLICACIÓN INMEDIATA   </w:t>
                              </w:r>
                            </w:p>
                            <w:p w14:paraId="30A73447" w14:textId="2AD4540B" w:rsidR="00C81B7A" w:rsidRPr="00C421DF" w:rsidRDefault="00506BA1" w:rsidP="00C81B7A">
                              <w:pPr>
                                <w:rPr>
                                  <w:rFonts w:ascii="Calibri" w:eastAsia="Times New Roman" w:hAnsi="Calibri" w:cs="Calibri"/>
                                  <w:sz w:val="22"/>
                                  <w:szCs w:val="22"/>
                                  <w:lang w:val="es-419"/>
                                </w:rPr>
                              </w:pPr>
                              <w:r w:rsidRPr="00C421DF">
                                <w:rPr>
                                  <w:rFonts w:ascii="Arial" w:eastAsia="Arial" w:hAnsi="Arial" w:cs="Arial"/>
                                  <w:sz w:val="21"/>
                                  <w:szCs w:val="21"/>
                                  <w:lang w:val="es-419"/>
                                </w:rPr>
                                <w:t>16 de agosto, 2021</w:t>
                              </w:r>
                            </w:p>
                          </w:tc>
                          <w:tc>
                            <w:tcPr>
                              <w:tcW w:w="0" w:type="auto"/>
                              <w:tcMar>
                                <w:top w:w="120" w:type="dxa"/>
                                <w:left w:w="120" w:type="dxa"/>
                                <w:bottom w:w="120" w:type="dxa"/>
                                <w:right w:w="120" w:type="dxa"/>
                              </w:tcMar>
                              <w:vAlign w:val="center"/>
                              <w:hideMark/>
                            </w:tcPr>
                            <w:p w14:paraId="475BBA47" w14:textId="3D08C618" w:rsidR="00C421DF" w:rsidRDefault="00506BA1" w:rsidP="00C81B7A">
                              <w:pPr>
                                <w:jc w:val="right"/>
                                <w:rPr>
                                  <w:rFonts w:ascii="Arial" w:eastAsia="Arial" w:hAnsi="Arial" w:cs="Arial"/>
                                  <w:sz w:val="21"/>
                                  <w:szCs w:val="21"/>
                                  <w:lang w:val="es-419"/>
                                </w:rPr>
                              </w:pPr>
                              <w:r w:rsidRPr="00C421DF">
                                <w:rPr>
                                  <w:rFonts w:ascii="Arial" w:eastAsia="Arial" w:hAnsi="Arial" w:cs="Arial"/>
                                  <w:sz w:val="21"/>
                                  <w:szCs w:val="21"/>
                                  <w:lang w:val="es-419"/>
                                </w:rPr>
                                <w:t>Contacto: </w:t>
                              </w:r>
                              <w:hyperlink r:id="rId5" w:history="1">
                                <w:r w:rsidR="00C421DF" w:rsidRPr="008F11C9">
                                  <w:rPr>
                                    <w:rStyle w:val="Hyperlink"/>
                                    <w:rFonts w:ascii="Arial" w:eastAsia="Arial" w:hAnsi="Arial" w:cs="Arial"/>
                                    <w:sz w:val="21"/>
                                    <w:szCs w:val="21"/>
                                    <w:lang w:val="es-419"/>
                                  </w:rPr>
                                  <w:t>news@dhhs.nc.gov</w:t>
                                </w:r>
                              </w:hyperlink>
                            </w:p>
                            <w:p w14:paraId="198D5B91" w14:textId="0BE4108D" w:rsidR="00C81B7A" w:rsidRPr="00C421DF" w:rsidRDefault="00506BA1" w:rsidP="00C81B7A">
                              <w:pPr>
                                <w:jc w:val="right"/>
                                <w:rPr>
                                  <w:rFonts w:ascii="Calibri" w:eastAsia="Times New Roman" w:hAnsi="Calibri" w:cs="Calibri"/>
                                  <w:sz w:val="22"/>
                                  <w:szCs w:val="22"/>
                                  <w:lang w:val="es-419"/>
                                </w:rPr>
                              </w:pPr>
                              <w:r w:rsidRPr="00C421DF">
                                <w:rPr>
                                  <w:rFonts w:ascii="Arial" w:eastAsia="Arial" w:hAnsi="Arial" w:cs="Arial"/>
                                  <w:sz w:val="21"/>
                                  <w:szCs w:val="21"/>
                                  <w:lang w:val="es-419"/>
                                </w:rPr>
                                <w:t>919-855-4840</w:t>
                              </w:r>
                            </w:p>
                          </w:tc>
                        </w:tr>
                      </w:tbl>
                      <w:p w14:paraId="64814DEC" w14:textId="77777777" w:rsidR="00C81B7A" w:rsidRPr="00C421DF" w:rsidRDefault="00C81B7A" w:rsidP="00C81B7A">
                        <w:pPr>
                          <w:jc w:val="center"/>
                          <w:rPr>
                            <w:rFonts w:ascii="Times New Roman" w:eastAsia="Times New Roman" w:hAnsi="Times New Roman" w:cs="Times New Roman"/>
                            <w:lang w:val="es-419"/>
                          </w:rPr>
                        </w:pPr>
                      </w:p>
                    </w:tc>
                  </w:tr>
                </w:tbl>
                <w:p w14:paraId="7B650D10" w14:textId="77777777" w:rsidR="00C81B7A" w:rsidRPr="00C421DF" w:rsidRDefault="00C81B7A" w:rsidP="00C81B7A">
                  <w:pPr>
                    <w:rPr>
                      <w:rFonts w:ascii="Times New Roman" w:eastAsia="Times New Roman" w:hAnsi="Times New Roman" w:cs="Times New Roman"/>
                      <w:lang w:val="es-419"/>
                    </w:rPr>
                  </w:pPr>
                </w:p>
              </w:tc>
            </w:tr>
          </w:tbl>
          <w:p w14:paraId="698E64A1" w14:textId="77777777" w:rsidR="00C81B7A" w:rsidRPr="00C421DF" w:rsidRDefault="00C81B7A" w:rsidP="00C81B7A">
            <w:pPr>
              <w:rPr>
                <w:rFonts w:ascii="-webkit-standard" w:eastAsia="Times New Roman" w:hAnsi="-webkit-standard" w:cs="Times New Roman"/>
                <w:lang w:val="es-419"/>
              </w:rPr>
            </w:pPr>
          </w:p>
        </w:tc>
      </w:tr>
    </w:tbl>
    <w:p w14:paraId="128C6F73" w14:textId="77777777" w:rsidR="00C81B7A" w:rsidRPr="00C421DF" w:rsidRDefault="00506BA1" w:rsidP="00C81B7A">
      <w:pPr>
        <w:shd w:val="clear" w:color="auto" w:fill="FFFFFF"/>
        <w:rPr>
          <w:rFonts w:ascii="Calibri" w:eastAsia="Times New Roman" w:hAnsi="Calibri" w:cs="Calibri"/>
          <w:color w:val="000000"/>
          <w:sz w:val="22"/>
          <w:szCs w:val="22"/>
          <w:lang w:val="es-419"/>
        </w:rPr>
      </w:pPr>
      <w:r w:rsidRPr="00C421DF">
        <w:rPr>
          <w:rFonts w:ascii="Calibri" w:eastAsia="Times New Roman" w:hAnsi="Calibri" w:cs="Calibri"/>
          <w:color w:val="000000"/>
          <w:sz w:val="22"/>
          <w:szCs w:val="22"/>
          <w:lang w:val="es-419"/>
        </w:rPr>
        <w:t> </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E3360" w:rsidRPr="00C421DF" w14:paraId="4166F16C" w14:textId="77777777" w:rsidTr="00C81B7A">
        <w:tc>
          <w:tcPr>
            <w:tcW w:w="0" w:type="auto"/>
            <w:shd w:val="clear" w:color="auto" w:fill="FFFFFF"/>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1E3360" w:rsidRPr="00C421DF" w14:paraId="5136F42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E3360" w:rsidRPr="00C421DF" w14:paraId="742B1A5A" w14:textId="77777777">
                    <w:tc>
                      <w:tcPr>
                        <w:tcW w:w="0" w:type="auto"/>
                        <w:tcMar>
                          <w:top w:w="0" w:type="dxa"/>
                          <w:left w:w="270" w:type="dxa"/>
                          <w:bottom w:w="135" w:type="dxa"/>
                          <w:right w:w="270" w:type="dxa"/>
                        </w:tcMar>
                        <w:hideMark/>
                      </w:tcPr>
                      <w:p w14:paraId="4F539880" w14:textId="5720131D" w:rsidR="00506BA1" w:rsidRDefault="00506BA1" w:rsidP="00C81B7A">
                        <w:pPr>
                          <w:spacing w:line="275" w:lineRule="atLeast"/>
                          <w:rPr>
                            <w:rFonts w:ascii="Arial" w:eastAsia="Arial" w:hAnsi="Arial" w:cs="Arial"/>
                            <w:color w:val="000000"/>
                            <w:sz w:val="21"/>
                            <w:szCs w:val="21"/>
                            <w:lang w:val="es-419"/>
                          </w:rPr>
                        </w:pPr>
                        <w:r w:rsidRPr="00C421DF">
                          <w:rPr>
                            <w:rFonts w:ascii="Arial" w:eastAsia="Arial" w:hAnsi="Arial" w:cs="Arial"/>
                            <w:color w:val="000000"/>
                            <w:sz w:val="21"/>
                            <w:szCs w:val="21"/>
                            <w:lang w:val="es-419"/>
                          </w:rPr>
                          <w:t>RALEIGH — El día de hoy, el Departamento de Salud y Servicios Humanos de Carolina del Norte (</w:t>
                        </w:r>
                        <w:r w:rsidRPr="005913FA">
                          <w:rPr>
                            <w:rFonts w:ascii="Arial" w:eastAsia="Arial" w:hAnsi="Arial" w:cs="Arial"/>
                            <w:i/>
                            <w:color w:val="000000"/>
                            <w:sz w:val="21"/>
                            <w:szCs w:val="21"/>
                            <w:lang w:val="es-419"/>
                          </w:rPr>
                          <w:t>NCDHHS</w:t>
                        </w:r>
                        <w:r w:rsidRPr="00C421DF">
                          <w:rPr>
                            <w:rFonts w:ascii="Arial" w:eastAsia="Arial" w:hAnsi="Arial" w:cs="Arial"/>
                            <w:color w:val="000000"/>
                            <w:sz w:val="21"/>
                            <w:szCs w:val="21"/>
                            <w:lang w:val="es-419"/>
                          </w:rPr>
                          <w:t>), anunció que los habitantes de Carolina del Norte con sistema inmunológico comprometido a nivel moderado o severo, y que hayan recibido la vacuna Moderna o Pfizer, ahora pueden comenzar a recibir una dosis adicional para protegerse mejor contra COVID-19.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El jueves, la Administración para el Control de Alimentos y Medicamentos de los EE UU (</w:t>
                        </w:r>
                        <w:r w:rsidRPr="00C421DF">
                          <w:rPr>
                            <w:rFonts w:ascii="Arial" w:eastAsia="Arial" w:hAnsi="Arial" w:cs="Arial"/>
                            <w:i/>
                            <w:iCs/>
                            <w:color w:val="000000"/>
                            <w:sz w:val="21"/>
                            <w:szCs w:val="21"/>
                            <w:lang w:val="es-419"/>
                          </w:rPr>
                          <w:t>FDA</w:t>
                        </w:r>
                        <w:r w:rsidRPr="00C421DF">
                          <w:rPr>
                            <w:rFonts w:ascii="Arial" w:eastAsia="Arial" w:hAnsi="Arial" w:cs="Arial"/>
                            <w:color w:val="000000"/>
                            <w:sz w:val="21"/>
                            <w:szCs w:val="21"/>
                            <w:lang w:val="es-419"/>
                          </w:rPr>
                          <w:t xml:space="preserve">) </w:t>
                        </w:r>
                        <w:hyperlink r:id="rId6" w:history="1">
                          <w:r w:rsidRPr="0009673A">
                            <w:rPr>
                              <w:rStyle w:val="Hyperlink"/>
                              <w:rFonts w:ascii="Arial" w:eastAsia="Arial" w:hAnsi="Arial" w:cs="Arial"/>
                              <w:sz w:val="21"/>
                              <w:szCs w:val="21"/>
                              <w:lang w:val="es-419"/>
                            </w:rPr>
                            <w:t>enmendó</w:t>
                          </w:r>
                        </w:hyperlink>
                        <w:r w:rsidRPr="00C421DF">
                          <w:rPr>
                            <w:rFonts w:ascii="Arial" w:eastAsia="Arial" w:hAnsi="Arial" w:cs="Arial"/>
                            <w:color w:val="000000"/>
                            <w:sz w:val="21"/>
                            <w:szCs w:val="21"/>
                            <w:lang w:val="es-419"/>
                          </w:rPr>
                          <w:t xml:space="preserve"> las autorizaciones de uso de emergencia para ambas vacunas con el fin de permitir el uso de una dosis adicional en algunas personas inmunocomprometidas, lo que luego fue recomendado el día viernes por el Comité Asesor de Prácticas de Inmunización (</w:t>
                        </w:r>
                        <w:r w:rsidRPr="005913FA">
                          <w:rPr>
                            <w:rFonts w:ascii="Arial" w:eastAsia="Arial" w:hAnsi="Arial" w:cs="Arial"/>
                            <w:i/>
                            <w:color w:val="000000"/>
                            <w:sz w:val="21"/>
                            <w:szCs w:val="21"/>
                            <w:lang w:val="es-419"/>
                          </w:rPr>
                          <w:t>ACIP)</w:t>
                        </w:r>
                        <w:r w:rsidRPr="00C421DF">
                          <w:rPr>
                            <w:rFonts w:ascii="Arial" w:eastAsia="Arial" w:hAnsi="Arial" w:cs="Arial"/>
                            <w:color w:val="000000"/>
                            <w:sz w:val="21"/>
                            <w:szCs w:val="21"/>
                            <w:lang w:val="es-419"/>
                          </w:rPr>
                          <w:t xml:space="preserve"> del Centro para el Control y la Prevención de Enfermedades (</w:t>
                        </w:r>
                        <w:r w:rsidRPr="005913FA">
                          <w:rPr>
                            <w:rFonts w:ascii="Arial" w:eastAsia="Arial" w:hAnsi="Arial" w:cs="Arial"/>
                            <w:i/>
                            <w:color w:val="000000"/>
                            <w:sz w:val="21"/>
                            <w:szCs w:val="21"/>
                            <w:lang w:val="es-419"/>
                          </w:rPr>
                          <w:t>CDC</w:t>
                        </w:r>
                        <w:r w:rsidRPr="00C421DF">
                          <w:rPr>
                            <w:rFonts w:ascii="Arial" w:eastAsia="Arial" w:hAnsi="Arial" w:cs="Arial"/>
                            <w:color w:val="000000"/>
                            <w:sz w:val="21"/>
                            <w:szCs w:val="21"/>
                            <w:lang w:val="es-419"/>
                          </w:rPr>
                          <w:t>). En el</w:t>
                        </w:r>
                        <w:r w:rsidRPr="00C421DF">
                          <w:rPr>
                            <w:rFonts w:ascii="Arial" w:eastAsia="Arial" w:hAnsi="Arial" w:cs="Arial"/>
                            <w:color w:val="00B0F0"/>
                            <w:sz w:val="21"/>
                            <w:szCs w:val="21"/>
                            <w:u w:val="single"/>
                            <w:lang w:val="es-419"/>
                          </w:rPr>
                          <w:t xml:space="preserve"> </w:t>
                        </w:r>
                        <w:hyperlink r:id="rId7" w:history="1">
                          <w:r w:rsidRPr="0009673A">
                            <w:rPr>
                              <w:rStyle w:val="Hyperlink"/>
                              <w:rFonts w:ascii="Arial" w:eastAsia="Arial" w:hAnsi="Arial" w:cs="Arial"/>
                              <w:sz w:val="21"/>
                              <w:szCs w:val="21"/>
                              <w:lang w:val="es-419"/>
                            </w:rPr>
                            <w:t>sitio web de CDC</w:t>
                          </w:r>
                        </w:hyperlink>
                        <w:r w:rsidRPr="00C421DF">
                          <w:rPr>
                            <w:rFonts w:ascii="Arial" w:eastAsia="Arial" w:hAnsi="Arial" w:cs="Arial"/>
                            <w:color w:val="000000"/>
                            <w:sz w:val="21"/>
                            <w:szCs w:val="21"/>
                            <w:lang w:val="es-419"/>
                          </w:rPr>
                          <w:t xml:space="preserve"> se puede encontrar una lista completa de las condiciones médicas pertinentes. En los EE UU, las personas con sistema inmunológico comprometido a nivel moderado o severo, constituyen aproximadamente el 3% de la población adulta.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r>
                        <w:hyperlink r:id="rId8" w:history="1">
                          <w:r w:rsidRPr="00754CC6">
                            <w:rPr>
                              <w:rStyle w:val="Hyperlink"/>
                              <w:rFonts w:ascii="Arial" w:eastAsia="Arial" w:hAnsi="Arial" w:cs="Arial"/>
                              <w:sz w:val="21"/>
                              <w:szCs w:val="21"/>
                              <w:lang w:val="es-419"/>
                            </w:rPr>
                            <w:t>Según CDC</w:t>
                          </w:r>
                        </w:hyperlink>
                        <w:r w:rsidRPr="00C421DF">
                          <w:rPr>
                            <w:rFonts w:ascii="Arial" w:eastAsia="Arial" w:hAnsi="Arial" w:cs="Arial"/>
                            <w:color w:val="000000"/>
                            <w:sz w:val="21"/>
                            <w:szCs w:val="21"/>
                            <w:lang w:val="es-419"/>
                          </w:rPr>
                          <w:t>, los datos emergentes sugieren que algunas personas con sistema inmunológico comprometido a nivel moderado o gravemente severo, no siempre desarrollan el mismo nivel de inmunidad luego de la vacunación, en comparación con quienes no están inmunocomprometid</w:t>
                        </w:r>
                        <w:r w:rsidR="005913FA">
                          <w:rPr>
                            <w:rFonts w:ascii="Arial" w:eastAsia="Arial" w:hAnsi="Arial" w:cs="Arial"/>
                            <w:color w:val="000000"/>
                            <w:sz w:val="21"/>
                            <w:szCs w:val="21"/>
                            <w:lang w:val="es-419"/>
                          </w:rPr>
                          <w:t>o</w:t>
                        </w:r>
                        <w:r w:rsidRPr="00C421DF">
                          <w:rPr>
                            <w:rFonts w:ascii="Arial" w:eastAsia="Arial" w:hAnsi="Arial" w:cs="Arial"/>
                            <w:color w:val="000000"/>
                            <w:sz w:val="21"/>
                            <w:szCs w:val="21"/>
                            <w:lang w:val="es-419"/>
                          </w:rPr>
                          <w:t>s. Además, en algunos estudios pequeños, las personas inmunocomprometidas vacunadas por completo han representado gran proporción de los casos de hospitalizaciones luego de la vacunación.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“Esta dosis adicional ofrecerá valiosa protección a quienes la necesiten, especialmente ahora que enfrentamos aumento de casos COVID-19 debido a la variante Delta”, señaló la Dra. Elizabeth Tilson, directora médica estatal y médico en jefe de NCDHHS. “Insto</w:t>
                        </w:r>
                        <w:r>
                          <w:rPr>
                            <w:rFonts w:ascii="Arial" w:eastAsia="Arial" w:hAnsi="Arial" w:cs="Arial"/>
                            <w:color w:val="000000"/>
                            <w:sz w:val="21"/>
                            <w:szCs w:val="21"/>
                            <w:lang w:val="es-419"/>
                          </w:rPr>
                          <w:t>,</w:t>
                        </w:r>
                        <w:r w:rsidRPr="00C421DF">
                          <w:rPr>
                            <w:rFonts w:ascii="Arial" w:eastAsia="Arial" w:hAnsi="Arial" w:cs="Arial"/>
                            <w:color w:val="000000"/>
                            <w:sz w:val="21"/>
                            <w:szCs w:val="21"/>
                            <w:lang w:val="es-419"/>
                          </w:rPr>
                          <w:t xml:space="preserve"> a quienes cumplen con los criterios</w:t>
                        </w:r>
                        <w:r>
                          <w:rPr>
                            <w:rFonts w:ascii="Arial" w:eastAsia="Arial" w:hAnsi="Arial" w:cs="Arial"/>
                            <w:color w:val="000000"/>
                            <w:sz w:val="21"/>
                            <w:szCs w:val="21"/>
                            <w:lang w:val="es-419"/>
                          </w:rPr>
                          <w:t>,</w:t>
                        </w:r>
                        <w:r w:rsidRPr="00C421DF">
                          <w:rPr>
                            <w:rFonts w:ascii="Arial" w:eastAsia="Arial" w:hAnsi="Arial" w:cs="Arial"/>
                            <w:color w:val="000000"/>
                            <w:sz w:val="21"/>
                            <w:szCs w:val="21"/>
                            <w:lang w:val="es-419"/>
                          </w:rPr>
                          <w:t xml:space="preserve"> a recibir esta dosis adicional. Además, si usted no está vacunado por completo, hágalo ahora para auto protegerse y proteger a otros, -como a los </w:t>
                        </w:r>
                        <w:r w:rsidRPr="00C421DF">
                          <w:rPr>
                            <w:rFonts w:ascii="Arial" w:eastAsia="Arial" w:hAnsi="Arial" w:cs="Arial"/>
                            <w:color w:val="000000"/>
                            <w:sz w:val="21"/>
                            <w:szCs w:val="21"/>
                            <w:lang w:val="es-419"/>
                          </w:rPr>
                          <w:lastRenderedPageBreak/>
                          <w:t>inmunocomprometidos,- de enfermedades graves, hospitalización y muerte por COVID-19”. Para ayudar a aumentar la respuesta inmunitaria del cuerpo, se recomienda que las personas con sistema inmunológico comprometido a nivel moderado o severo reciban una dosis adicional de la misma marca de vacuna, dentro de un mínimo de 28 días después de haber completado la serie inicial de dos dosis. Se debe recibir la misma marca de vacuna, a menos que no esté disponible, en cuyo caso se puede usar la vacuna Pfizer o Moderna.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La vacuna Moderna está disponible para mayores de 18 años de edad, mientras que la vacuna Pfizer está disponible para los mayores de 12 años.  </w:t>
                        </w:r>
                      </w:p>
                      <w:p w14:paraId="309C385D" w14:textId="73121B94" w:rsidR="00C81B7A" w:rsidRPr="00C421DF" w:rsidRDefault="00506BA1" w:rsidP="00C81B7A">
                        <w:pPr>
                          <w:spacing w:line="275" w:lineRule="atLeast"/>
                          <w:rPr>
                            <w:rFonts w:ascii="Calibri" w:eastAsia="Times New Roman" w:hAnsi="Calibri" w:cs="Calibri"/>
                            <w:sz w:val="22"/>
                            <w:szCs w:val="22"/>
                            <w:lang w:val="es-419"/>
                          </w:rPr>
                        </w:pP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Los estudios que respaldan este cambio fueron específicos para personas con sistema inmunológico comprometido a nivel moderado o severo; la autorización y recomendación de dosis adicional se limita a este segmento de la población. Solo se deben administrar dosis adicionales a personas con sistema inmunológico comprometido a nivel moderado o severo. Los pacientes pudieran dar fe de su condición médica.</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 xml:space="preserve">Los proveedores de servicios pueden encontrar información de CDC referente a las </w:t>
                        </w:r>
                        <w:hyperlink r:id="rId9" w:history="1">
                          <w:r w:rsidRPr="0009673A">
                            <w:rPr>
                              <w:rStyle w:val="Hyperlink"/>
                              <w:rFonts w:ascii="Arial" w:eastAsia="Arial" w:hAnsi="Arial" w:cs="Arial"/>
                              <w:sz w:val="21"/>
                              <w:szCs w:val="21"/>
                              <w:lang w:val="es-419"/>
                            </w:rPr>
                            <w:t>consideraciones clínicas provisionales para el uso de vacunas contra COVID-19 actualmente autorizadas en los EEUU</w:t>
                          </w:r>
                        </w:hyperlink>
                        <w:r w:rsidRPr="00C421DF">
                          <w:rPr>
                            <w:rFonts w:ascii="Arial" w:eastAsia="Arial" w:hAnsi="Arial" w:cs="Arial"/>
                            <w:color w:val="00B0F0"/>
                            <w:sz w:val="21"/>
                            <w:szCs w:val="21"/>
                            <w:u w:val="single"/>
                            <w:lang w:val="es-419"/>
                          </w:rPr>
                          <w:t>.</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 xml:space="preserve">Las personas inmunocomprometidas que cumplen con los criterios para recibir dosis adicional de la vacuna Moderna o Pfizer deben comunicarse con su proveedor de atención médica; o bien, pueden visitar </w:t>
                        </w:r>
                        <w:hyperlink r:id="rId10" w:history="1">
                          <w:r w:rsidR="0009673A" w:rsidRPr="0009673A">
                            <w:rPr>
                              <w:rStyle w:val="Hyperlink"/>
                              <w:rFonts w:ascii="Arial" w:eastAsia="Arial" w:hAnsi="Arial" w:cs="Arial"/>
                              <w:sz w:val="21"/>
                              <w:szCs w:val="21"/>
                              <w:lang w:val="es-419"/>
                            </w:rPr>
                            <w:t>Vacunate.</w:t>
                          </w:r>
                          <w:r w:rsidRPr="0009673A">
                            <w:rPr>
                              <w:rStyle w:val="Hyperlink"/>
                              <w:rFonts w:ascii="Arial" w:eastAsia="Arial" w:hAnsi="Arial" w:cs="Arial"/>
                              <w:sz w:val="21"/>
                              <w:szCs w:val="21"/>
                              <w:lang w:val="es-419"/>
                            </w:rPr>
                            <w:t>nc.gov</w:t>
                          </w:r>
                        </w:hyperlink>
                        <w:r w:rsidRPr="00C421DF">
                          <w:rPr>
                            <w:rFonts w:ascii="Arial" w:eastAsia="Arial" w:hAnsi="Arial" w:cs="Arial"/>
                            <w:color w:val="000000"/>
                            <w:sz w:val="21"/>
                            <w:szCs w:val="21"/>
                            <w:lang w:val="es-419"/>
                          </w:rPr>
                          <w:t xml:space="preserve"> o llamar al 888-675-4567 para encontrar un centro de vacuna</w:t>
                        </w:r>
                        <w:r>
                          <w:rPr>
                            <w:rFonts w:ascii="Arial" w:eastAsia="Arial" w:hAnsi="Arial" w:cs="Arial"/>
                            <w:color w:val="000000"/>
                            <w:sz w:val="21"/>
                            <w:szCs w:val="21"/>
                            <w:lang w:val="es-419"/>
                          </w:rPr>
                          <w:t>ción</w:t>
                        </w:r>
                        <w:r w:rsidRPr="00C421DF">
                          <w:rPr>
                            <w:rFonts w:ascii="Arial" w:eastAsia="Arial" w:hAnsi="Arial" w:cs="Arial"/>
                            <w:color w:val="000000"/>
                            <w:sz w:val="21"/>
                            <w:szCs w:val="21"/>
                            <w:lang w:val="es-419"/>
                          </w:rPr>
                          <w:t xml:space="preserve"> cercano. El suministro de vacunas en el estado puede dar acomodo </w:t>
                        </w:r>
                        <w:r>
                          <w:rPr>
                            <w:rFonts w:ascii="Arial" w:eastAsia="Arial" w:hAnsi="Arial" w:cs="Arial"/>
                            <w:color w:val="000000"/>
                            <w:sz w:val="21"/>
                            <w:szCs w:val="21"/>
                            <w:lang w:val="es-419"/>
                          </w:rPr>
                          <w:t>a la administración</w:t>
                        </w:r>
                        <w:r w:rsidRPr="00C421DF">
                          <w:rPr>
                            <w:rFonts w:ascii="Arial" w:eastAsia="Arial" w:hAnsi="Arial" w:cs="Arial"/>
                            <w:color w:val="000000"/>
                            <w:sz w:val="21"/>
                            <w:szCs w:val="21"/>
                            <w:lang w:val="es-419"/>
                          </w:rPr>
                          <w:t xml:space="preserve"> de esta dosis adicional a personas inmunocomprometidas.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 xml:space="preserve">En estos momentos, no se recomienda que las personas inmunocomprometidas vacunadas con la marca de </w:t>
                        </w:r>
                        <w:r w:rsidRPr="00506BA1">
                          <w:rPr>
                            <w:rFonts w:ascii="Arial" w:eastAsia="Arial" w:hAnsi="Arial" w:cs="Arial"/>
                            <w:i/>
                            <w:color w:val="000000"/>
                            <w:sz w:val="21"/>
                            <w:szCs w:val="21"/>
                            <w:lang w:val="es-419"/>
                          </w:rPr>
                          <w:t>Johnson &amp; Johnson</w:t>
                        </w:r>
                        <w:r w:rsidRPr="00C421DF">
                          <w:rPr>
                            <w:rFonts w:ascii="Arial" w:eastAsia="Arial" w:hAnsi="Arial" w:cs="Arial"/>
                            <w:color w:val="000000"/>
                            <w:sz w:val="21"/>
                            <w:szCs w:val="21"/>
                            <w:lang w:val="es-419"/>
                          </w:rPr>
                          <w:t xml:space="preserve"> reciban una dosis adicional. No hay datos suficientes sobre la seguridad y eficacia de una dosis de vacuna adicional de la marca </w:t>
                        </w:r>
                        <w:r w:rsidRPr="00506BA1">
                          <w:rPr>
                            <w:rFonts w:ascii="Arial" w:eastAsia="Arial" w:hAnsi="Arial" w:cs="Arial"/>
                            <w:i/>
                            <w:color w:val="000000"/>
                            <w:sz w:val="21"/>
                            <w:szCs w:val="21"/>
                            <w:lang w:val="es-419"/>
                          </w:rPr>
                          <w:t>Johnson &amp; Johnson</w:t>
                        </w:r>
                        <w:r w:rsidRPr="00C421DF">
                          <w:rPr>
                            <w:rFonts w:ascii="Arial" w:eastAsia="Arial" w:hAnsi="Arial" w:cs="Arial"/>
                            <w:color w:val="000000"/>
                            <w:sz w:val="21"/>
                            <w:szCs w:val="21"/>
                            <w:lang w:val="es-419"/>
                          </w:rPr>
                          <w:t xml:space="preserve"> como para autorizarla. A medida que haya más datos disponibles, esta recomendación pudiera cambiar.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 xml:space="preserve">Se alienta a todos los habitantes de Carolina del Norte no vacunados mayores de 12 años a que reciban la vacuna contra COVID-19 para protegerse contra enfermedades graves, hospitalización y muerte. Los ensayos clínicos rigurosos en más de cien mil personas han demostrado que las vacunas son seguras y efectivas. Casi 200 millones de estadounidenses han recibido la vacuna contra COVID-19. La investigación ha demostrado que incluso quienes tuvieron un caso leve de COVID-19, pudieran tener que luchar con </w:t>
                        </w:r>
                        <w:r>
                          <w:rPr>
                            <w:rFonts w:ascii="Arial" w:eastAsia="Arial" w:hAnsi="Arial" w:cs="Arial"/>
                            <w:color w:val="000000"/>
                            <w:sz w:val="21"/>
                            <w:szCs w:val="21"/>
                            <w:lang w:val="es-419"/>
                          </w:rPr>
                          <w:t xml:space="preserve">los </w:t>
                        </w:r>
                        <w:r w:rsidRPr="00C421DF">
                          <w:rPr>
                            <w:rFonts w:ascii="Arial" w:eastAsia="Arial" w:hAnsi="Arial" w:cs="Arial"/>
                            <w:color w:val="000000"/>
                            <w:sz w:val="21"/>
                            <w:szCs w:val="21"/>
                            <w:lang w:val="es-419"/>
                          </w:rPr>
                          <w:t>efectos a largo plazo como dificultad para respirar, dolor de pecho y confusión mental.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br/>
                          <w:t xml:space="preserve">Para ayudar a frenar la propagación de COVID-19 y proteger a nuestras comunidades, NCDHHS también </w:t>
                        </w:r>
                        <w:hyperlink r:id="rId11" w:history="1">
                          <w:r w:rsidRPr="0009673A">
                            <w:rPr>
                              <w:rStyle w:val="Hyperlink"/>
                              <w:rFonts w:ascii="Arial" w:eastAsia="Arial" w:hAnsi="Arial" w:cs="Arial"/>
                              <w:sz w:val="21"/>
                              <w:szCs w:val="21"/>
                              <w:lang w:val="es-419"/>
                            </w:rPr>
                            <w:t>recomienda</w:t>
                          </w:r>
                        </w:hyperlink>
                        <w:r w:rsidRPr="00C421DF">
                          <w:rPr>
                            <w:rFonts w:ascii="Arial" w:eastAsia="Arial" w:hAnsi="Arial" w:cs="Arial"/>
                            <w:color w:val="00B0F0"/>
                            <w:sz w:val="21"/>
                            <w:szCs w:val="21"/>
                            <w:u w:val="single"/>
                            <w:lang w:val="es-419"/>
                          </w:rPr>
                          <w:t xml:space="preserve"> </w:t>
                        </w:r>
                        <w:r w:rsidRPr="00C421DF">
                          <w:rPr>
                            <w:rFonts w:ascii="Arial" w:eastAsia="Arial" w:hAnsi="Arial" w:cs="Arial"/>
                            <w:color w:val="000000"/>
                            <w:sz w:val="21"/>
                            <w:szCs w:val="21"/>
                            <w:lang w:val="es-419"/>
                          </w:rPr>
                          <w:t xml:space="preserve">que todos usen mascarilla estando en espacios públicos interiores si viven en un área de niveles altos o sustanciales de transmisión, </w:t>
                        </w:r>
                        <w:hyperlink r:id="rId12" w:anchor="county-view" w:history="1">
                          <w:r w:rsidRPr="0009673A">
                            <w:rPr>
                              <w:rStyle w:val="Hyperlink"/>
                              <w:rFonts w:ascii="Arial" w:eastAsia="Arial" w:hAnsi="Arial" w:cs="Arial"/>
                              <w:sz w:val="21"/>
                              <w:szCs w:val="21"/>
                              <w:lang w:val="es-419"/>
                            </w:rPr>
                            <w:t>según lo definido por CDC</w:t>
                          </w:r>
                        </w:hyperlink>
                        <w:r w:rsidRPr="00C421DF">
                          <w:rPr>
                            <w:rFonts w:ascii="Arial" w:eastAsia="Arial" w:hAnsi="Arial" w:cs="Arial"/>
                            <w:color w:val="000000"/>
                            <w:sz w:val="21"/>
                            <w:szCs w:val="21"/>
                            <w:u w:val="single"/>
                            <w:lang w:val="es-419"/>
                          </w:rPr>
                          <w:t>,</w:t>
                        </w:r>
                        <w:r w:rsidRPr="00C421DF">
                          <w:rPr>
                            <w:rFonts w:ascii="Arial" w:eastAsia="Arial" w:hAnsi="Arial" w:cs="Arial"/>
                            <w:color w:val="000000"/>
                            <w:sz w:val="21"/>
                            <w:szCs w:val="21"/>
                            <w:lang w:val="es-419"/>
                          </w:rPr>
                          <w:t xml:space="preserve"> hasta que más personas estén vacunadas y la transmisión viral disminuya. En Carolina del Norte, ahora </w:t>
                        </w:r>
                        <w:r>
                          <w:rPr>
                            <w:rFonts w:ascii="Arial" w:eastAsia="Arial" w:hAnsi="Arial" w:cs="Arial"/>
                            <w:color w:val="000000"/>
                            <w:sz w:val="21"/>
                            <w:szCs w:val="21"/>
                            <w:lang w:val="es-419"/>
                          </w:rPr>
                          <w:t xml:space="preserve">eso </w:t>
                        </w:r>
                        <w:r w:rsidRPr="00C421DF">
                          <w:rPr>
                            <w:rFonts w:ascii="Arial" w:eastAsia="Arial" w:hAnsi="Arial" w:cs="Arial"/>
                            <w:color w:val="000000"/>
                            <w:sz w:val="21"/>
                            <w:szCs w:val="21"/>
                            <w:lang w:val="es-419"/>
                          </w:rPr>
                          <w:t>representa los 100 condados. </w:t>
                        </w:r>
                        <w:r w:rsidRPr="00C421DF">
                          <w:rPr>
                            <w:rFonts w:ascii="Arial" w:eastAsia="Arial" w:hAnsi="Arial" w:cs="Arial"/>
                            <w:color w:val="000000"/>
                            <w:sz w:val="21"/>
                            <w:szCs w:val="21"/>
                            <w:lang w:val="es-419"/>
                          </w:rPr>
                          <w:br/>
                        </w:r>
                        <w:r w:rsidRPr="00C421DF">
                          <w:rPr>
                            <w:rFonts w:ascii="Arial" w:eastAsia="Arial" w:hAnsi="Arial" w:cs="Arial"/>
                            <w:color w:val="000000"/>
                            <w:sz w:val="21"/>
                            <w:szCs w:val="21"/>
                            <w:lang w:val="es-419"/>
                          </w:rPr>
                          <w:lastRenderedPageBreak/>
                          <w:br/>
                          <w:t>Para vacunarse en un lugar cercano, visite: </w:t>
                        </w:r>
                        <w:hyperlink r:id="rId13" w:history="1">
                          <w:r w:rsidR="0009673A" w:rsidRPr="0009673A">
                            <w:rPr>
                              <w:rStyle w:val="Hyperlink"/>
                              <w:rFonts w:ascii="Arial" w:eastAsia="Arial" w:hAnsi="Arial" w:cs="Arial"/>
                              <w:sz w:val="21"/>
                              <w:szCs w:val="21"/>
                              <w:lang w:val="es-419"/>
                            </w:rPr>
                            <w:t>Vacunate.nc.gov</w:t>
                          </w:r>
                        </w:hyperlink>
                        <w:r w:rsidR="0009673A">
                          <w:rPr>
                            <w:rFonts w:ascii="Arial" w:eastAsia="Arial" w:hAnsi="Arial" w:cs="Arial"/>
                            <w:color w:val="000000"/>
                            <w:sz w:val="21"/>
                            <w:szCs w:val="21"/>
                            <w:lang w:val="es-419"/>
                          </w:rPr>
                          <w:t xml:space="preserve"> </w:t>
                        </w:r>
                        <w:r w:rsidRPr="00C421DF">
                          <w:rPr>
                            <w:rFonts w:ascii="Arial" w:eastAsia="Arial" w:hAnsi="Arial" w:cs="Arial"/>
                            <w:color w:val="000000"/>
                            <w:sz w:val="21"/>
                            <w:szCs w:val="21"/>
                            <w:lang w:val="es-419"/>
                          </w:rPr>
                          <w:t xml:space="preserve">o llame al 888-675-4567. Para encontrar un centro de vacunación cercano, también puede enviar un mensaje de texto al 438829 con el código postal donde </w:t>
                        </w:r>
                        <w:r>
                          <w:rPr>
                            <w:rFonts w:ascii="Arial" w:eastAsia="Arial" w:hAnsi="Arial" w:cs="Arial"/>
                            <w:color w:val="000000"/>
                            <w:sz w:val="21"/>
                            <w:szCs w:val="21"/>
                            <w:lang w:val="es-419"/>
                          </w:rPr>
                          <w:t xml:space="preserve">usted </w:t>
                        </w:r>
                        <w:r w:rsidRPr="00C421DF">
                          <w:rPr>
                            <w:rFonts w:ascii="Arial" w:eastAsia="Arial" w:hAnsi="Arial" w:cs="Arial"/>
                            <w:color w:val="000000"/>
                            <w:sz w:val="21"/>
                            <w:szCs w:val="21"/>
                            <w:lang w:val="es-419"/>
                          </w:rPr>
                          <w:t>resid</w:t>
                        </w:r>
                        <w:r>
                          <w:rPr>
                            <w:rFonts w:ascii="Arial" w:eastAsia="Arial" w:hAnsi="Arial" w:cs="Arial"/>
                            <w:color w:val="000000"/>
                            <w:sz w:val="21"/>
                            <w:szCs w:val="21"/>
                            <w:lang w:val="es-419"/>
                          </w:rPr>
                          <w:t>e</w:t>
                        </w:r>
                        <w:r w:rsidRPr="00C421DF">
                          <w:rPr>
                            <w:rFonts w:ascii="Arial" w:eastAsia="Arial" w:hAnsi="Arial" w:cs="Arial"/>
                            <w:color w:val="000000"/>
                            <w:sz w:val="21"/>
                            <w:szCs w:val="21"/>
                            <w:lang w:val="es-419"/>
                          </w:rPr>
                          <w:t>.  </w:t>
                        </w:r>
                      </w:p>
                    </w:tc>
                  </w:tr>
                </w:tbl>
                <w:p w14:paraId="349EF558" w14:textId="77777777" w:rsidR="00C81B7A" w:rsidRPr="00C421DF" w:rsidRDefault="00C81B7A" w:rsidP="00C81B7A">
                  <w:pPr>
                    <w:rPr>
                      <w:rFonts w:ascii="Times New Roman" w:eastAsia="Times New Roman" w:hAnsi="Times New Roman" w:cs="Times New Roman"/>
                      <w:lang w:val="es-419"/>
                    </w:rPr>
                  </w:pPr>
                </w:p>
              </w:tc>
            </w:tr>
          </w:tbl>
          <w:p w14:paraId="44425FED" w14:textId="77777777" w:rsidR="00C81B7A" w:rsidRPr="00C421DF" w:rsidRDefault="00C81B7A" w:rsidP="00C81B7A">
            <w:pPr>
              <w:rPr>
                <w:rFonts w:ascii="-webkit-standard" w:eastAsia="Times New Roman" w:hAnsi="-webkit-standard" w:cs="Times New Roman"/>
                <w:lang w:val="es-419"/>
              </w:rPr>
            </w:pPr>
          </w:p>
        </w:tc>
      </w:tr>
    </w:tbl>
    <w:p w14:paraId="25488C69" w14:textId="77777777" w:rsidR="00C81B7A" w:rsidRPr="00C421DF" w:rsidRDefault="00506BA1" w:rsidP="00C81B7A">
      <w:pPr>
        <w:shd w:val="clear" w:color="auto" w:fill="FFFFFF"/>
        <w:rPr>
          <w:rFonts w:ascii="Calibri" w:eastAsia="Times New Roman" w:hAnsi="Calibri" w:cs="Calibri"/>
          <w:color w:val="000000"/>
          <w:sz w:val="22"/>
          <w:szCs w:val="22"/>
          <w:lang w:val="es-419"/>
        </w:rPr>
      </w:pPr>
      <w:r w:rsidRPr="00C421DF">
        <w:rPr>
          <w:rFonts w:ascii="Calibri" w:eastAsia="Times New Roman" w:hAnsi="Calibri" w:cs="Calibri"/>
          <w:color w:val="000000"/>
          <w:sz w:val="22"/>
          <w:szCs w:val="22"/>
          <w:lang w:val="es-419"/>
        </w:rPr>
        <w:lastRenderedPageBreak/>
        <w:t> </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E3360" w:rsidRPr="00C421DF" w14:paraId="4E89B612" w14:textId="77777777" w:rsidTr="00C81B7A">
        <w:tc>
          <w:tcPr>
            <w:tcW w:w="0" w:type="auto"/>
            <w:shd w:val="clear" w:color="auto" w:fill="FFFFFF"/>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1E3360" w:rsidRPr="00C421DF" w14:paraId="01CBF2B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E3360" w:rsidRPr="00C421DF" w14:paraId="78500CE5" w14:textId="77777777">
                    <w:tc>
                      <w:tcPr>
                        <w:tcW w:w="0" w:type="auto"/>
                        <w:tcMar>
                          <w:top w:w="0" w:type="dxa"/>
                          <w:left w:w="270" w:type="dxa"/>
                          <w:bottom w:w="135" w:type="dxa"/>
                          <w:right w:w="270" w:type="dxa"/>
                        </w:tcMar>
                        <w:hideMark/>
                      </w:tcPr>
                      <w:p w14:paraId="6B3F5941" w14:textId="77777777" w:rsidR="00C81B7A" w:rsidRPr="00C421DF" w:rsidRDefault="00506BA1" w:rsidP="00C81B7A">
                        <w:pPr>
                          <w:spacing w:line="275" w:lineRule="atLeast"/>
                          <w:jc w:val="center"/>
                          <w:rPr>
                            <w:rFonts w:ascii="Calibri" w:eastAsia="Times New Roman" w:hAnsi="Calibri" w:cs="Calibri"/>
                            <w:sz w:val="22"/>
                            <w:szCs w:val="22"/>
                            <w:lang w:val="es-419"/>
                          </w:rPr>
                        </w:pPr>
                        <w:r w:rsidRPr="00C421DF">
                          <w:rPr>
                            <w:rFonts w:ascii="Arial" w:eastAsia="Times New Roman" w:hAnsi="Arial" w:cs="Arial"/>
                            <w:color w:val="000000"/>
                            <w:sz w:val="21"/>
                            <w:szCs w:val="21"/>
                            <w:lang w:val="es-419"/>
                          </w:rPr>
                          <w:t>###</w:t>
                        </w:r>
                      </w:p>
                    </w:tc>
                  </w:tr>
                </w:tbl>
                <w:p w14:paraId="320B97D1" w14:textId="77777777" w:rsidR="00C81B7A" w:rsidRPr="00C421DF" w:rsidRDefault="00C81B7A" w:rsidP="00C81B7A">
                  <w:pPr>
                    <w:rPr>
                      <w:rFonts w:ascii="Times New Roman" w:eastAsia="Times New Roman" w:hAnsi="Times New Roman" w:cs="Times New Roman"/>
                      <w:lang w:val="es-419"/>
                    </w:rPr>
                  </w:pPr>
                </w:p>
              </w:tc>
            </w:tr>
          </w:tbl>
          <w:p w14:paraId="082A018A" w14:textId="77777777" w:rsidR="00C81B7A" w:rsidRPr="00C421DF" w:rsidRDefault="00C81B7A" w:rsidP="00C81B7A">
            <w:pPr>
              <w:rPr>
                <w:rFonts w:ascii="-webkit-standard" w:eastAsia="Times New Roman" w:hAnsi="-webkit-standard" w:cs="Times New Roman"/>
                <w:lang w:val="es-419"/>
              </w:rPr>
            </w:pPr>
          </w:p>
        </w:tc>
      </w:tr>
    </w:tbl>
    <w:p w14:paraId="3C909E34" w14:textId="77777777" w:rsidR="001B3004" w:rsidRPr="00C421DF" w:rsidRDefault="001B3004">
      <w:pPr>
        <w:rPr>
          <w:lang w:val="es-419"/>
        </w:rPr>
      </w:pPr>
    </w:p>
    <w:sectPr w:rsidR="001B3004" w:rsidRPr="00C421DF" w:rsidSect="009A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7A"/>
    <w:rsid w:val="0009673A"/>
    <w:rsid w:val="000B2C2C"/>
    <w:rsid w:val="001B3004"/>
    <w:rsid w:val="001E3360"/>
    <w:rsid w:val="00430B47"/>
    <w:rsid w:val="00506BA1"/>
    <w:rsid w:val="005913FA"/>
    <w:rsid w:val="005B3275"/>
    <w:rsid w:val="00754CC6"/>
    <w:rsid w:val="009A04F0"/>
    <w:rsid w:val="00B23AE3"/>
    <w:rsid w:val="00C421DF"/>
    <w:rsid w:val="00C8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1686"/>
  <w14:defaultImageDpi w14:val="32767"/>
  <w15:chartTrackingRefBased/>
  <w15:docId w15:val="{0EF9DE83-A064-D44A-AF1E-74E11EFB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1B7A"/>
    <w:rPr>
      <w:b/>
      <w:bCs/>
    </w:rPr>
  </w:style>
  <w:style w:type="character" w:customStyle="1" w:styleId="apple-converted-space">
    <w:name w:val="apple-converted-space"/>
    <w:basedOn w:val="DefaultParagraphFont"/>
    <w:rsid w:val="00C81B7A"/>
  </w:style>
  <w:style w:type="character" w:styleId="Hyperlink">
    <w:name w:val="Hyperlink"/>
    <w:basedOn w:val="DefaultParagraphFont"/>
    <w:uiPriority w:val="99"/>
    <w:unhideWhenUsed/>
    <w:rsid w:val="00C81B7A"/>
    <w:rPr>
      <w:color w:val="0000FF"/>
      <w:u w:val="single"/>
    </w:rPr>
  </w:style>
  <w:style w:type="character" w:styleId="UnresolvedMention">
    <w:name w:val="Unresolved Mention"/>
    <w:basedOn w:val="DefaultParagraphFont"/>
    <w:uiPriority w:val="99"/>
    <w:rsid w:val="00C42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edia/releases/2021/s0813-additional-mRNA-mrna-dose.html" TargetMode="External"/><Relationship Id="rId13" Type="http://schemas.openxmlformats.org/officeDocument/2006/relationships/hyperlink" Target="https://covid19.ncdhhs.gov/vaccines/informacion-sobre-las-vacunas-contra-el-covid-19" TargetMode="External"/><Relationship Id="rId3" Type="http://schemas.openxmlformats.org/officeDocument/2006/relationships/webSettings" Target="webSettings.xml"/><Relationship Id="rId7" Type="http://schemas.openxmlformats.org/officeDocument/2006/relationships/hyperlink" Target="https://espanol.cdc.gov/coronavirus/2019-ncov/vaccines/recommendations/immuno.html" TargetMode="External"/><Relationship Id="rId12" Type="http://schemas.openxmlformats.org/officeDocument/2006/relationships/hyperlink" Target="https://covid.cdc.gov/covid-data-track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da.gov/news-events/press-announcements/actualizacion-sobre-el-coronavirus-covid-19-la-fda-autoriza-una-dosis-adicional-de-la-vacuna-para" TargetMode="External"/><Relationship Id="rId11" Type="http://schemas.openxmlformats.org/officeDocument/2006/relationships/hyperlink" Target="https://covid19.ncdhhs.gov/media/2964/open" TargetMode="External"/><Relationship Id="rId5" Type="http://schemas.openxmlformats.org/officeDocument/2006/relationships/hyperlink" Target="mailto:news@dhhs.nc.gov" TargetMode="External"/><Relationship Id="rId15" Type="http://schemas.openxmlformats.org/officeDocument/2006/relationships/theme" Target="theme/theme1.xml"/><Relationship Id="rId10" Type="http://schemas.openxmlformats.org/officeDocument/2006/relationships/hyperlink" Target="https://covid19.ncdhhs.gov/vaccines/informacion-sobre-las-vacunas-contra-el-covid-19" TargetMode="External"/><Relationship Id="rId4" Type="http://schemas.openxmlformats.org/officeDocument/2006/relationships/image" Target="media/image1.jpeg"/><Relationship Id="rId9" Type="http://schemas.openxmlformats.org/officeDocument/2006/relationships/hyperlink" Target="https://www.cdc.gov/vaccines/covid-19/clinical-considerations/covid-19-vaccines-u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Eargle, Allison</dc:creator>
  <cp:lastModifiedBy>Braun, Amy Dominello</cp:lastModifiedBy>
  <cp:revision>3</cp:revision>
  <dcterms:created xsi:type="dcterms:W3CDTF">2021-08-17T16:56:00Z</dcterms:created>
  <dcterms:modified xsi:type="dcterms:W3CDTF">2021-08-17T16:57:00Z</dcterms:modified>
</cp:coreProperties>
</file>