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02B8C" w14:textId="77777777" w:rsidR="005A2E33" w:rsidRDefault="00322FF7">
      <w:pPr>
        <w:spacing w:after="0" w:line="259" w:lineRule="auto"/>
        <w:ind w:left="315" w:right="0" w:firstLine="0"/>
        <w:jc w:val="center"/>
      </w:pPr>
      <w:r>
        <w:rPr>
          <w:rFonts w:ascii="Courier New" w:eastAsia="Courier New" w:hAnsi="Courier New" w:cs="Courier New"/>
          <w:b/>
        </w:rPr>
        <w:t xml:space="preserve"> </w:t>
      </w:r>
    </w:p>
    <w:p w14:paraId="41836C48" w14:textId="77777777" w:rsidR="005A2E33" w:rsidRDefault="00322FF7">
      <w:pPr>
        <w:spacing w:after="196" w:line="259" w:lineRule="auto"/>
        <w:ind w:left="4860" w:right="0" w:firstLine="0"/>
      </w:pPr>
      <w:r>
        <w:rPr>
          <w:noProof/>
        </w:rPr>
        <w:drawing>
          <wp:inline distT="0" distB="0" distL="0" distR="0" wp14:anchorId="3018B91E" wp14:editId="3F8279CF">
            <wp:extent cx="690372" cy="690372"/>
            <wp:effectExtent l="0" t="0" r="0" b="0"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0372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DD880" w14:textId="77777777" w:rsidR="005A2E33" w:rsidRDefault="00322FF7">
      <w:pPr>
        <w:spacing w:after="0" w:line="259" w:lineRule="auto"/>
        <w:ind w:left="165" w:right="0" w:firstLine="0"/>
        <w:jc w:val="center"/>
      </w:pPr>
      <w:r>
        <w:rPr>
          <w:rFonts w:ascii="Garamond" w:eastAsia="Garamond" w:hAnsi="Garamond" w:cs="Garamond"/>
          <w:b/>
        </w:rPr>
        <w:t>North Carolina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b/>
        </w:rPr>
        <w:t xml:space="preserve">Department of Health and Human Services </w:t>
      </w:r>
    </w:p>
    <w:p w14:paraId="7EC7983D" w14:textId="77777777" w:rsidR="005A2E33" w:rsidRDefault="00322FF7">
      <w:pPr>
        <w:spacing w:after="0" w:line="259" w:lineRule="auto"/>
        <w:ind w:left="231" w:right="0" w:firstLine="0"/>
        <w:jc w:val="center"/>
      </w:pPr>
      <w:r>
        <w:rPr>
          <w:rFonts w:ascii="Garamond" w:eastAsia="Garamond" w:hAnsi="Garamond" w:cs="Garamond"/>
          <w:b/>
        </w:rPr>
        <w:t xml:space="preserve"> </w:t>
      </w:r>
    </w:p>
    <w:tbl>
      <w:tblPr>
        <w:tblStyle w:val="TableGrid"/>
        <w:tblW w:w="10652" w:type="dxa"/>
        <w:tblInd w:w="270" w:type="dxa"/>
        <w:tblLook w:val="04A0" w:firstRow="1" w:lastRow="0" w:firstColumn="1" w:lastColumn="0" w:noHBand="0" w:noVBand="1"/>
      </w:tblPr>
      <w:tblGrid>
        <w:gridCol w:w="7203"/>
        <w:gridCol w:w="3449"/>
      </w:tblGrid>
      <w:tr w:rsidR="005A2E33" w14:paraId="242685DB" w14:textId="77777777" w:rsidTr="00A428F3">
        <w:trPr>
          <w:trHeight w:val="225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4A285206" w14:textId="77777777"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Pat McCrory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07DF7F62" w14:textId="77777777" w:rsidR="005A2E33" w:rsidRDefault="00322FF7">
            <w:pPr>
              <w:spacing w:after="0" w:line="259" w:lineRule="auto"/>
              <w:ind w:left="0" w:right="123" w:firstLine="0"/>
              <w:jc w:val="right"/>
            </w:pPr>
            <w:r>
              <w:rPr>
                <w:sz w:val="20"/>
              </w:rPr>
              <w:t xml:space="preserve">Aldona Z. Wos, M.D. </w:t>
            </w:r>
          </w:p>
        </w:tc>
      </w:tr>
      <w:tr w:rsidR="005A2E33" w14:paraId="0C448989" w14:textId="77777777" w:rsidTr="00A428F3">
        <w:trPr>
          <w:trHeight w:val="239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74E9DF53" w14:textId="77777777"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Governor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4B2958E8" w14:textId="77777777" w:rsidR="005A2E33" w:rsidRDefault="00322FF7">
            <w:pPr>
              <w:spacing w:after="0" w:line="259" w:lineRule="auto"/>
              <w:ind w:left="0" w:right="122" w:firstLine="0"/>
              <w:jc w:val="right"/>
            </w:pPr>
            <w:r>
              <w:rPr>
                <w:sz w:val="20"/>
              </w:rPr>
              <w:t>Ambassador (Ret.)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5A2E33" w14:paraId="2E44C024" w14:textId="77777777" w:rsidTr="00A428F3">
        <w:trPr>
          <w:trHeight w:val="635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3C5D0AA9" w14:textId="77777777" w:rsidR="005A2E33" w:rsidRPr="00C72A9C" w:rsidRDefault="00322FF7" w:rsidP="00C72A9C">
            <w:pPr>
              <w:spacing w:after="101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586ED095" w14:textId="77777777" w:rsidR="005A2E33" w:rsidRDefault="00322FF7">
            <w:pPr>
              <w:spacing w:after="0" w:line="259" w:lineRule="auto"/>
              <w:ind w:left="0" w:right="123" w:firstLine="0"/>
              <w:jc w:val="right"/>
            </w:pPr>
            <w:r>
              <w:rPr>
                <w:sz w:val="20"/>
              </w:rPr>
              <w:t xml:space="preserve">Secretary, DHHS </w:t>
            </w:r>
          </w:p>
        </w:tc>
      </w:tr>
      <w:tr w:rsidR="005A2E33" w14:paraId="04FBC754" w14:textId="77777777" w:rsidTr="00A428F3">
        <w:trPr>
          <w:trHeight w:val="290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1E8C0104" w14:textId="77777777" w:rsidR="005A2E33" w:rsidRPr="002571B0" w:rsidRDefault="002571B0" w:rsidP="002571B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2571B0">
              <w:rPr>
                <w:sz w:val="20"/>
                <w:szCs w:val="20"/>
              </w:rPr>
              <w:t>Division of Mental Health, Developmental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7C0FCB6B" w14:textId="77777777" w:rsidR="005A2E33" w:rsidRPr="0068726A" w:rsidRDefault="00322FF7">
            <w:pPr>
              <w:spacing w:after="0" w:line="259" w:lineRule="auto"/>
              <w:ind w:left="0" w:right="0" w:firstLine="0"/>
            </w:pPr>
            <w:r w:rsidRPr="0068726A">
              <w:rPr>
                <w:sz w:val="20"/>
              </w:rPr>
              <w:t xml:space="preserve">Division of Medical Assistance </w:t>
            </w:r>
          </w:p>
        </w:tc>
      </w:tr>
      <w:tr w:rsidR="005A2E33" w14:paraId="3C5B43D6" w14:textId="77777777" w:rsidTr="00A428F3">
        <w:trPr>
          <w:trHeight w:val="227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4A1A93F1" w14:textId="77777777" w:rsidR="005A2E33" w:rsidRPr="0068726A" w:rsidRDefault="00322FF7">
            <w:pPr>
              <w:spacing w:after="0" w:line="259" w:lineRule="auto"/>
              <w:ind w:left="0" w:right="0" w:firstLine="0"/>
            </w:pPr>
            <w:r w:rsidRPr="0068726A">
              <w:rPr>
                <w:sz w:val="20"/>
              </w:rPr>
              <w:t xml:space="preserve">Disabilities and Substance Abuse Services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78AA67C1" w14:textId="77777777"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2501 Mail Services Center </w:t>
            </w:r>
          </w:p>
        </w:tc>
      </w:tr>
      <w:tr w:rsidR="005A2E33" w14:paraId="38B52D5B" w14:textId="77777777" w:rsidTr="00A428F3">
        <w:trPr>
          <w:trHeight w:val="229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144631CD" w14:textId="77777777"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3001 Mail Services Center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63F13CC5" w14:textId="77777777"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Raleigh, North Carolina 27699-2501 </w:t>
            </w:r>
          </w:p>
        </w:tc>
      </w:tr>
      <w:tr w:rsidR="005A2E33" w14:paraId="781879E6" w14:textId="77777777" w:rsidTr="00A428F3">
        <w:trPr>
          <w:trHeight w:val="230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1999C318" w14:textId="77777777"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Raleigh, North Carolina 27699-3001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3ADE2AB0" w14:textId="77777777"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Tel 919-855-4100 Fax 919-733-6608 </w:t>
            </w:r>
          </w:p>
        </w:tc>
      </w:tr>
      <w:tr w:rsidR="005A2E33" w14:paraId="55EF294A" w14:textId="77777777" w:rsidTr="00A428F3">
        <w:trPr>
          <w:trHeight w:val="230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5E097632" w14:textId="77777777"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Tel 919-733-7011 Fax 919-508-0951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2C084FEE" w14:textId="77777777"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Robin Gary Cummings, M.D. </w:t>
            </w:r>
          </w:p>
        </w:tc>
      </w:tr>
      <w:tr w:rsidR="005A2E33" w14:paraId="2EC5E230" w14:textId="77777777" w:rsidTr="00A428F3">
        <w:trPr>
          <w:trHeight w:val="230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530FCED4" w14:textId="77777777"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Courtney M. Cantrell, Ph.D.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207E77C7" w14:textId="77777777"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Deputy Secretary for Health Services </w:t>
            </w:r>
          </w:p>
        </w:tc>
      </w:tr>
      <w:tr w:rsidR="005A2E33" w14:paraId="4CCAD522" w14:textId="77777777" w:rsidTr="00A428F3">
        <w:trPr>
          <w:trHeight w:val="964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78831D8E" w14:textId="77777777"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Director </w:t>
            </w:r>
          </w:p>
          <w:p w14:paraId="5911D3C9" w14:textId="77777777" w:rsidR="005A2E33" w:rsidRDefault="00322FF7">
            <w:pPr>
              <w:spacing w:after="22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1BF6A1F6" w14:textId="77777777" w:rsidR="00113D98" w:rsidRDefault="00113D98">
            <w:pPr>
              <w:spacing w:after="22" w:line="259" w:lineRule="auto"/>
              <w:ind w:left="0" w:right="0" w:firstLine="0"/>
            </w:pPr>
          </w:p>
          <w:p w14:paraId="5FB008F9" w14:textId="77777777" w:rsidR="00A428F3" w:rsidRDefault="00A428F3">
            <w:pPr>
              <w:spacing w:after="22" w:line="259" w:lineRule="auto"/>
              <w:ind w:left="0" w:right="0" w:firstLine="0"/>
            </w:pPr>
          </w:p>
          <w:p w14:paraId="7F55118B" w14:textId="2CF72818" w:rsidR="005A2E33" w:rsidRDefault="00A97B02">
            <w:pPr>
              <w:spacing w:after="0" w:line="259" w:lineRule="auto"/>
              <w:ind w:left="0" w:right="154" w:firstLine="0"/>
              <w:jc w:val="right"/>
            </w:pPr>
            <w:r>
              <w:rPr>
                <w:b/>
              </w:rPr>
              <w:t>MCO Communication Bulletin #J12</w:t>
            </w:r>
            <w:r w:rsidR="004D6ACD">
              <w:rPr>
                <w:b/>
              </w:rPr>
              <w:t>5</w:t>
            </w:r>
            <w:bookmarkStart w:id="0" w:name="_GoBack"/>
            <w:bookmarkEnd w:id="0"/>
            <w:r w:rsidR="00322FF7">
              <w:rPr>
                <w:b/>
              </w:rPr>
              <w:t xml:space="preserve"> </w:t>
            </w:r>
          </w:p>
          <w:p w14:paraId="7D8F0092" w14:textId="77777777" w:rsidR="005A2E33" w:rsidRDefault="00322FF7">
            <w:pPr>
              <w:spacing w:after="0" w:line="259" w:lineRule="auto"/>
              <w:ind w:left="3379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7215E3A3" w14:textId="77777777" w:rsidR="005A2E33" w:rsidRDefault="00322FF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Director, Division of Medical Assistance </w:t>
            </w:r>
          </w:p>
        </w:tc>
      </w:tr>
      <w:tr w:rsidR="005A2E33" w14:paraId="28AE6A2B" w14:textId="77777777" w:rsidTr="00A428F3">
        <w:trPr>
          <w:trHeight w:val="1100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1C5F4901" w14:textId="7FD45E00" w:rsidR="005A2E33" w:rsidRDefault="003B2E04">
            <w:pPr>
              <w:tabs>
                <w:tab w:val="center" w:pos="2396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</w:tabs>
              <w:spacing w:after="0" w:line="259" w:lineRule="auto"/>
              <w:ind w:left="0" w:right="0" w:firstLine="0"/>
            </w:pPr>
            <w:r>
              <w:t xml:space="preserve">Date:               March </w:t>
            </w:r>
            <w:r w:rsidR="002503E9">
              <w:t>17</w:t>
            </w:r>
            <w:r w:rsidR="00322FF7">
              <w:t>, 201</w:t>
            </w:r>
            <w:r>
              <w:t>5</w:t>
            </w:r>
            <w:r w:rsidR="00322FF7">
              <w:t xml:space="preserve"> </w:t>
            </w:r>
            <w:r w:rsidR="00322FF7">
              <w:rPr>
                <w:rFonts w:ascii="Arial" w:eastAsia="Arial" w:hAnsi="Arial" w:cs="Arial"/>
              </w:rPr>
              <w:t xml:space="preserve"> </w:t>
            </w:r>
            <w:r w:rsidR="00322FF7">
              <w:rPr>
                <w:rFonts w:ascii="Arial" w:eastAsia="Arial" w:hAnsi="Arial" w:cs="Arial"/>
              </w:rPr>
              <w:tab/>
              <w:t xml:space="preserve"> </w:t>
            </w:r>
            <w:r w:rsidR="00322FF7">
              <w:rPr>
                <w:rFonts w:ascii="Arial" w:eastAsia="Arial" w:hAnsi="Arial" w:cs="Arial"/>
              </w:rPr>
              <w:tab/>
              <w:t xml:space="preserve"> </w:t>
            </w:r>
            <w:r w:rsidR="00322FF7">
              <w:rPr>
                <w:rFonts w:ascii="Arial" w:eastAsia="Arial" w:hAnsi="Arial" w:cs="Arial"/>
              </w:rPr>
              <w:tab/>
              <w:t xml:space="preserve"> </w:t>
            </w:r>
            <w:r w:rsidR="00322FF7">
              <w:rPr>
                <w:rFonts w:ascii="Arial" w:eastAsia="Arial" w:hAnsi="Arial" w:cs="Arial"/>
              </w:rPr>
              <w:tab/>
              <w:t xml:space="preserve"> </w:t>
            </w:r>
            <w:r w:rsidR="00322FF7">
              <w:rPr>
                <w:rFonts w:ascii="Arial" w:eastAsia="Arial" w:hAnsi="Arial" w:cs="Arial"/>
              </w:rPr>
              <w:tab/>
            </w:r>
            <w:r w:rsidR="00322FF7">
              <w:t xml:space="preserve"> </w:t>
            </w:r>
          </w:p>
          <w:p w14:paraId="0E806210" w14:textId="77777777" w:rsidR="005A2E33" w:rsidRDefault="00322FF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6E3ECA37" w14:textId="77777777" w:rsidR="005A2E33" w:rsidRDefault="00322FF7">
            <w:pPr>
              <w:tabs>
                <w:tab w:val="center" w:pos="720"/>
                <w:tab w:val="center" w:pos="2052"/>
              </w:tabs>
              <w:spacing w:after="0" w:line="259" w:lineRule="auto"/>
              <w:ind w:left="0" w:right="0" w:firstLine="0"/>
            </w:pPr>
            <w:r>
              <w:t xml:space="preserve">To: </w:t>
            </w:r>
            <w:r>
              <w:tab/>
              <w:t xml:space="preserve"> </w:t>
            </w:r>
            <w:r>
              <w:tab/>
              <w:t xml:space="preserve">LME-MCOs </w:t>
            </w:r>
          </w:p>
          <w:p w14:paraId="79E087FA" w14:textId="77777777" w:rsidR="005A2E33" w:rsidRDefault="00322FF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35CD8685" w14:textId="77777777" w:rsidR="005A2E33" w:rsidRDefault="00322FF7">
            <w:pPr>
              <w:spacing w:after="0" w:line="259" w:lineRule="auto"/>
              <w:ind w:left="449" w:right="0" w:firstLine="0"/>
            </w:pPr>
            <w:r>
              <w:t xml:space="preserve"> </w:t>
            </w:r>
          </w:p>
        </w:tc>
      </w:tr>
      <w:tr w:rsidR="005A2E33" w14:paraId="744BDF4E" w14:textId="77777777" w:rsidTr="00A428F3">
        <w:trPr>
          <w:trHeight w:val="1656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BC2E5" w14:textId="77777777" w:rsidR="005A2E33" w:rsidRDefault="00322FF7">
            <w:pPr>
              <w:tabs>
                <w:tab w:val="center" w:pos="5723"/>
              </w:tabs>
              <w:spacing w:after="0" w:line="259" w:lineRule="auto"/>
              <w:ind w:left="0" w:right="0" w:firstLine="0"/>
            </w:pPr>
            <w:r>
              <w:t xml:space="preserve">From: </w:t>
            </w:r>
            <w:r>
              <w:tab/>
              <w:t xml:space="preserve">Mabel McGlothlen, LME System Performance Team Leader, DMH/DD/SAS, and Kathy </w:t>
            </w:r>
          </w:p>
          <w:p w14:paraId="17E0ABC7" w14:textId="77777777" w:rsidR="005A2E33" w:rsidRDefault="00322FF7">
            <w:pPr>
              <w:spacing w:after="0" w:line="259" w:lineRule="auto"/>
              <w:ind w:left="1440" w:right="0" w:firstLine="0"/>
            </w:pPr>
            <w:r>
              <w:t xml:space="preserve">Nichols, Lead Waiver Program Manager, Contracts Section, DMA  </w:t>
            </w:r>
          </w:p>
          <w:p w14:paraId="212AA9F1" w14:textId="77777777" w:rsidR="005A2E33" w:rsidRDefault="00322FF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7CC64250" w14:textId="77777777" w:rsidR="00113D98" w:rsidRDefault="00113D98" w:rsidP="00113D98">
            <w:pPr>
              <w:rPr>
                <w:szCs w:val="24"/>
              </w:rPr>
            </w:pPr>
            <w:r>
              <w:rPr>
                <w:szCs w:val="24"/>
              </w:rPr>
              <w:t xml:space="preserve">Subject:    </w:t>
            </w:r>
            <w:r>
              <w:rPr>
                <w:szCs w:val="24"/>
              </w:rPr>
              <w:tab/>
            </w:r>
            <w:r w:rsidR="00A428F3">
              <w:rPr>
                <w:szCs w:val="24"/>
              </w:rPr>
              <w:t xml:space="preserve">Timely Filing </w:t>
            </w:r>
          </w:p>
          <w:p w14:paraId="3AACF997" w14:textId="77777777" w:rsidR="00D965A2" w:rsidRDefault="00D965A2" w:rsidP="00113D98"/>
          <w:p w14:paraId="18EFE2BC" w14:textId="20EF6FCA" w:rsidR="00C72A9C" w:rsidRDefault="00A428F3" w:rsidP="00A428F3">
            <w:r>
              <w:t xml:space="preserve">The purpose of this bulletin is to inform LME-MCOs </w:t>
            </w:r>
            <w:r w:rsidR="00C72A9C">
              <w:t xml:space="preserve">that </w:t>
            </w:r>
            <w:r>
              <w:t>the new Timely Filing Cutoff Date for submitting claims</w:t>
            </w:r>
            <w:r w:rsidR="00C72A9C">
              <w:t xml:space="preserve"> is </w:t>
            </w:r>
            <w:r w:rsidR="00C72A9C" w:rsidRPr="002503E9">
              <w:rPr>
                <w:b/>
              </w:rPr>
              <w:t>June 30, 2015</w:t>
            </w:r>
            <w:r>
              <w:t xml:space="preserve">. </w:t>
            </w:r>
          </w:p>
          <w:p w14:paraId="45DA07B6" w14:textId="77777777" w:rsidR="00C72A9C" w:rsidRDefault="00C72A9C" w:rsidP="00A428F3"/>
          <w:p w14:paraId="58669A8C" w14:textId="50175FBA" w:rsidR="00C72A9C" w:rsidRDefault="00A428F3" w:rsidP="00A428F3">
            <w:r>
              <w:rPr>
                <w:szCs w:val="24"/>
              </w:rPr>
              <w:t>Although</w:t>
            </w:r>
            <w:r>
              <w:t xml:space="preserve"> timely filing was extended to March 2015, we recognize that more time may be needed to submit claims. We appreciate the efforts that the LME-MCOs have made to ensure accurate claims are submitted to NCTracks. To date, some LME-MCOs have elected to begin settlements because a satisfactory percentage of claims are being accepted through NC Tracks. </w:t>
            </w:r>
          </w:p>
          <w:p w14:paraId="7343C6FF" w14:textId="77777777" w:rsidR="00C72A9C" w:rsidRDefault="00C72A9C" w:rsidP="00A428F3"/>
          <w:p w14:paraId="0A36122F" w14:textId="5C066189" w:rsidR="00A428F3" w:rsidRDefault="00A428F3" w:rsidP="00A428F3">
            <w:r>
              <w:t xml:space="preserve">The </w:t>
            </w:r>
            <w:r w:rsidR="00EC4571">
              <w:t>Department of Health and Human Services (</w:t>
            </w:r>
            <w:r>
              <w:t>DHHS</w:t>
            </w:r>
            <w:r w:rsidR="00EC4571">
              <w:t>)</w:t>
            </w:r>
            <w:r>
              <w:t xml:space="preserve"> will soon </w:t>
            </w:r>
            <w:r w:rsidR="005953DD">
              <w:t xml:space="preserve">add </w:t>
            </w:r>
            <w:r>
              <w:t>communication and assistance for providers who may need to change their taxonomy or other provider information in NC</w:t>
            </w:r>
            <w:r w:rsidR="00C72A9C">
              <w:t>T</w:t>
            </w:r>
            <w:r>
              <w:t xml:space="preserve">racks </w:t>
            </w:r>
            <w:r w:rsidR="00C72A9C">
              <w:t>to ensure</w:t>
            </w:r>
            <w:r>
              <w:t xml:space="preserve"> the provider information matches eligible taxonomies for Federally-funded services.</w:t>
            </w:r>
          </w:p>
          <w:p w14:paraId="57645E21" w14:textId="77777777" w:rsidR="00A428F3" w:rsidRDefault="00A428F3" w:rsidP="00A428F3"/>
          <w:p w14:paraId="407BF5A6" w14:textId="77777777" w:rsidR="00A428F3" w:rsidRDefault="00A428F3" w:rsidP="00A428F3"/>
          <w:p w14:paraId="6E8BBD17" w14:textId="16E1B352" w:rsidR="00A428F3" w:rsidRDefault="00EC4571" w:rsidP="00A428F3">
            <w:r>
              <w:lastRenderedPageBreak/>
              <w:t xml:space="preserve">Submitting claims </w:t>
            </w:r>
            <w:r w:rsidR="00A428F3">
              <w:t xml:space="preserve">through NCTracks </w:t>
            </w:r>
            <w:r>
              <w:t>helps DHHS</w:t>
            </w:r>
            <w:r w:rsidR="00A428F3">
              <w:t xml:space="preserve"> track the use of state dollars and ensure that Mental Health and Substance Abuse Prevention and Treatment Block Grant funds are available for our </w:t>
            </w:r>
            <w:r>
              <w:t>beneficiaries</w:t>
            </w:r>
            <w:r w:rsidR="00A428F3">
              <w:t>.</w:t>
            </w:r>
          </w:p>
          <w:p w14:paraId="2EACC680" w14:textId="77777777" w:rsidR="00415A1B" w:rsidRDefault="00415A1B" w:rsidP="00113D98">
            <w:pPr>
              <w:rPr>
                <w:szCs w:val="24"/>
              </w:rPr>
            </w:pPr>
          </w:p>
          <w:p w14:paraId="01E208C1" w14:textId="437CEEFE" w:rsidR="00A97B02" w:rsidRDefault="00415A1B" w:rsidP="00113D98">
            <w:pPr>
              <w:rPr>
                <w:szCs w:val="24"/>
              </w:rPr>
            </w:pPr>
            <w:r>
              <w:rPr>
                <w:szCs w:val="24"/>
              </w:rPr>
              <w:t xml:space="preserve">If you have questions, please contact Dr. Courtney M. Cantrell at: </w:t>
            </w:r>
            <w:hyperlink r:id="rId8" w:history="1">
              <w:r w:rsidRPr="00500DE0">
                <w:rPr>
                  <w:rStyle w:val="Hyperlink"/>
                  <w:szCs w:val="24"/>
                </w:rPr>
                <w:t>courtney.cantrell@dhhs.nc.gov</w:t>
              </w:r>
            </w:hyperlink>
            <w:r>
              <w:rPr>
                <w:szCs w:val="24"/>
              </w:rPr>
              <w:t xml:space="preserve">.  </w:t>
            </w:r>
            <w:r w:rsidR="00A97B02">
              <w:rPr>
                <w:szCs w:val="24"/>
              </w:rPr>
              <w:t xml:space="preserve"> </w:t>
            </w:r>
          </w:p>
          <w:p w14:paraId="57768F15" w14:textId="77777777" w:rsidR="00A97B02" w:rsidRDefault="00A97B02" w:rsidP="00A97B02">
            <w:pPr>
              <w:rPr>
                <w:szCs w:val="24"/>
              </w:rPr>
            </w:pPr>
          </w:p>
          <w:p w14:paraId="7A5BF098" w14:textId="77777777" w:rsidR="00A97B02" w:rsidRPr="00A97B02" w:rsidRDefault="00A97B02" w:rsidP="00A97B02">
            <w:pPr>
              <w:jc w:val="center"/>
              <w:rPr>
                <w:sz w:val="20"/>
                <w:szCs w:val="20"/>
              </w:rPr>
            </w:pPr>
            <w:r w:rsidRPr="00A97B02">
              <w:rPr>
                <w:i/>
                <w:iCs/>
                <w:sz w:val="20"/>
                <w:szCs w:val="20"/>
              </w:rPr>
              <w:t>Previous bulletins can be accessed at: http://jtcommunicationbulletins.ncdhhs.gov/</w:t>
            </w:r>
          </w:p>
          <w:p w14:paraId="3429F181" w14:textId="77777777" w:rsidR="00A97B02" w:rsidRPr="00A97B02" w:rsidRDefault="00A97B02" w:rsidP="00A97B02">
            <w:pPr>
              <w:jc w:val="center"/>
              <w:rPr>
                <w:sz w:val="20"/>
                <w:szCs w:val="20"/>
              </w:rPr>
            </w:pPr>
          </w:p>
          <w:p w14:paraId="4822A61F" w14:textId="77777777" w:rsidR="005A2E33" w:rsidRDefault="005A2E33">
            <w:pPr>
              <w:spacing w:after="0" w:line="259" w:lineRule="auto"/>
              <w:ind w:left="1440" w:right="0" w:firstLine="0"/>
            </w:pPr>
          </w:p>
        </w:tc>
      </w:tr>
      <w:tr w:rsidR="00A428F3" w14:paraId="51014BCB" w14:textId="77777777" w:rsidTr="00A428F3">
        <w:trPr>
          <w:trHeight w:val="1656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2B0B2" w14:textId="77777777" w:rsidR="00A428F3" w:rsidRDefault="00A428F3">
            <w:pPr>
              <w:tabs>
                <w:tab w:val="center" w:pos="5723"/>
              </w:tabs>
              <w:spacing w:after="0" w:line="259" w:lineRule="auto"/>
              <w:ind w:left="0" w:right="0" w:firstLine="0"/>
            </w:pPr>
          </w:p>
        </w:tc>
      </w:tr>
      <w:tr w:rsidR="00A428F3" w14:paraId="6AEF0F7B" w14:textId="77777777" w:rsidTr="00A428F3">
        <w:trPr>
          <w:trHeight w:val="1656"/>
        </w:trPr>
        <w:tc>
          <w:tcPr>
            <w:tcW w:w="10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58E40" w14:textId="77777777" w:rsidR="00A428F3" w:rsidRDefault="00A428F3">
            <w:pPr>
              <w:tabs>
                <w:tab w:val="center" w:pos="5723"/>
              </w:tabs>
              <w:spacing w:after="0" w:line="259" w:lineRule="auto"/>
              <w:ind w:left="0" w:right="0" w:firstLine="0"/>
            </w:pPr>
          </w:p>
        </w:tc>
      </w:tr>
    </w:tbl>
    <w:p w14:paraId="7031C08A" w14:textId="77777777" w:rsidR="005A2E33" w:rsidRDefault="00322FF7" w:rsidP="003B2E04">
      <w:pPr>
        <w:spacing w:after="0" w:line="259" w:lineRule="auto"/>
        <w:ind w:left="0" w:right="0" w:firstLine="0"/>
      </w:pPr>
      <w:r>
        <w:t xml:space="preserve"> Cc:  </w:t>
      </w:r>
      <w:r>
        <w:tab/>
        <w:t xml:space="preserve">Robin Gary Cummings, M.D., DMA </w:t>
      </w:r>
    </w:p>
    <w:p w14:paraId="3FB46CD6" w14:textId="77777777" w:rsidR="005A2E33" w:rsidRDefault="00322FF7">
      <w:pPr>
        <w:ind w:left="730"/>
      </w:pPr>
      <w:r>
        <w:t xml:space="preserve">Dave Richard, DHHS </w:t>
      </w:r>
    </w:p>
    <w:p w14:paraId="07C02D94" w14:textId="77777777" w:rsidR="005A2E33" w:rsidRDefault="00322FF7">
      <w:pPr>
        <w:ind w:left="730"/>
      </w:pPr>
      <w:r>
        <w:t xml:space="preserve">DMA Leadership Team  </w:t>
      </w:r>
    </w:p>
    <w:p w14:paraId="72A14674" w14:textId="77777777" w:rsidR="005A2E33" w:rsidRDefault="00322FF7">
      <w:pPr>
        <w:spacing w:after="190"/>
        <w:ind w:left="730" w:right="5728"/>
        <w:rPr>
          <w:sz w:val="18"/>
        </w:rPr>
      </w:pPr>
      <w:r>
        <w:t>DMH/DD/SAS Leadership Team</w:t>
      </w:r>
      <w:r w:rsidR="003B2E04">
        <w:t xml:space="preserve">         Mary Hooper, NCCCP</w:t>
      </w:r>
      <w:r>
        <w:rPr>
          <w:sz w:val="18"/>
        </w:rPr>
        <w:t xml:space="preserve"> </w:t>
      </w:r>
    </w:p>
    <w:sectPr w:rsidR="005A2E33">
      <w:footerReference w:type="default" r:id="rId9"/>
      <w:pgSz w:w="12240" w:h="15840"/>
      <w:pgMar w:top="677" w:right="888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2D080" w14:textId="77777777" w:rsidR="003B2E04" w:rsidRDefault="003B2E04" w:rsidP="003B2E04">
      <w:pPr>
        <w:spacing w:after="0" w:line="240" w:lineRule="auto"/>
      </w:pPr>
      <w:r>
        <w:separator/>
      </w:r>
    </w:p>
  </w:endnote>
  <w:endnote w:type="continuationSeparator" w:id="0">
    <w:p w14:paraId="14A82E4B" w14:textId="77777777" w:rsidR="003B2E04" w:rsidRDefault="003B2E04" w:rsidP="003B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4019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FC4F9" w14:textId="52AB6CDE" w:rsidR="002503E9" w:rsidRDefault="002503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A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03C74B" w14:textId="428CF856" w:rsidR="003B2E04" w:rsidRDefault="003B2E04" w:rsidP="003B2E04">
    <w:pPr>
      <w:spacing w:after="0" w:line="227" w:lineRule="auto"/>
      <w:ind w:left="3457" w:right="2373" w:hanging="65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E426D" w14:textId="77777777" w:rsidR="003B2E04" w:rsidRDefault="003B2E04" w:rsidP="003B2E04">
      <w:pPr>
        <w:spacing w:after="0" w:line="240" w:lineRule="auto"/>
      </w:pPr>
      <w:r>
        <w:separator/>
      </w:r>
    </w:p>
  </w:footnote>
  <w:footnote w:type="continuationSeparator" w:id="0">
    <w:p w14:paraId="10B4274F" w14:textId="77777777" w:rsidR="003B2E04" w:rsidRDefault="003B2E04" w:rsidP="003B2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E3C3D"/>
    <w:multiLevelType w:val="hybridMultilevel"/>
    <w:tmpl w:val="8A30F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AF4D44"/>
    <w:multiLevelType w:val="hybridMultilevel"/>
    <w:tmpl w:val="63368F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33"/>
    <w:rsid w:val="00113D98"/>
    <w:rsid w:val="002503E9"/>
    <w:rsid w:val="002571B0"/>
    <w:rsid w:val="00322FF7"/>
    <w:rsid w:val="003239B7"/>
    <w:rsid w:val="003B2E04"/>
    <w:rsid w:val="00415A1B"/>
    <w:rsid w:val="004D6ACD"/>
    <w:rsid w:val="005953DD"/>
    <w:rsid w:val="005A2E33"/>
    <w:rsid w:val="005D39EB"/>
    <w:rsid w:val="0068726A"/>
    <w:rsid w:val="00A428F3"/>
    <w:rsid w:val="00A97B02"/>
    <w:rsid w:val="00C72A9C"/>
    <w:rsid w:val="00D965A2"/>
    <w:rsid w:val="00E91E3F"/>
    <w:rsid w:val="00EC4571"/>
    <w:rsid w:val="00F436AC"/>
    <w:rsid w:val="00F9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98CF20"/>
  <w15:docId w15:val="{A9939694-F076-4E31-A317-FA2A5865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49" w:lineRule="auto"/>
      <w:ind w:left="10" w:right="507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A97B02"/>
    <w:rPr>
      <w:rFonts w:cs="Times New Roman"/>
      <w:color w:val="0000FF"/>
      <w:u w:val="single"/>
    </w:rPr>
  </w:style>
  <w:style w:type="paragraph" w:customStyle="1" w:styleId="Default">
    <w:name w:val="Default"/>
    <w:rsid w:val="00A97B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2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E0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B2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E04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B0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qFormat/>
    <w:rsid w:val="00113D98"/>
    <w:pPr>
      <w:spacing w:after="0" w:line="240" w:lineRule="auto"/>
      <w:ind w:left="720" w:right="0" w:firstLine="0"/>
      <w:contextualSpacing/>
    </w:pPr>
    <w:rPr>
      <w:color w:val="auto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113D9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72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A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A9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A9C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cantrell@dhhs.nc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22, 2002</vt:lpstr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22, 2002</dc:title>
  <dc:subject/>
  <dc:creator>Lois Nilsen</dc:creator>
  <cp:keywords/>
  <cp:lastModifiedBy>Lisa Jackson</cp:lastModifiedBy>
  <cp:revision>2</cp:revision>
  <cp:lastPrinted>2015-03-03T13:58:00Z</cp:lastPrinted>
  <dcterms:created xsi:type="dcterms:W3CDTF">2015-03-17T15:39:00Z</dcterms:created>
  <dcterms:modified xsi:type="dcterms:W3CDTF">2015-03-17T15:39:00Z</dcterms:modified>
</cp:coreProperties>
</file>