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08F" w:rsidRPr="00FE108F" w:rsidRDefault="00377C0F" w:rsidP="000C6D2E">
      <w:pPr>
        <w:jc w:val="center"/>
      </w:pPr>
      <w:r>
        <w:tab/>
      </w:r>
      <w:r w:rsidR="00566D08">
        <w:rPr>
          <w:rFonts w:ascii="Comic Sans MS" w:hAnsi="Comic Sans MS"/>
          <w:noProof/>
          <w:sz w:val="32"/>
        </w:rPr>
        <w:drawing>
          <wp:inline distT="0" distB="0" distL="0" distR="0" wp14:anchorId="62CCD1B7" wp14:editId="66964227">
            <wp:extent cx="224790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533400"/>
                    </a:xfrm>
                    <a:prstGeom prst="rect">
                      <a:avLst/>
                    </a:prstGeom>
                    <a:noFill/>
                    <a:ln>
                      <a:noFill/>
                    </a:ln>
                  </pic:spPr>
                </pic:pic>
              </a:graphicData>
            </a:graphic>
          </wp:inline>
        </w:drawing>
      </w:r>
      <w:r w:rsidR="00566D08">
        <w:rPr>
          <w:noProof/>
        </w:rPr>
        <mc:AlternateContent>
          <mc:Choice Requires="wps">
            <w:drawing>
              <wp:anchor distT="0" distB="0" distL="114300" distR="114300" simplePos="0" relativeHeight="251659264" behindDoc="0" locked="0" layoutInCell="1" allowOverlap="1" wp14:anchorId="2D74C8DB" wp14:editId="744A489B">
                <wp:simplePos x="0" y="0"/>
                <wp:positionH relativeFrom="column">
                  <wp:posOffset>-123825</wp:posOffset>
                </wp:positionH>
                <wp:positionV relativeFrom="paragraph">
                  <wp:posOffset>-619760</wp:posOffset>
                </wp:positionV>
                <wp:extent cx="656272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562725" cy="333375"/>
                        </a:xfrm>
                        <a:prstGeom prst="rect">
                          <a:avLst/>
                        </a:prstGeom>
                        <a:solidFill>
                          <a:srgbClr val="F79646">
                            <a:lumMod val="60000"/>
                            <a:lumOff val="40000"/>
                          </a:srgbClr>
                        </a:solidFill>
                        <a:ln w="25400" cap="flat" cmpd="sng" algn="ctr">
                          <a:solidFill>
                            <a:srgbClr val="009999"/>
                          </a:solidFill>
                          <a:prstDash val="solid"/>
                        </a:ln>
                        <a:effectLst/>
                      </wps:spPr>
                      <wps:txbx>
                        <w:txbxContent>
                          <w:p w:rsidR="00566D08" w:rsidRPr="00D6358C" w:rsidRDefault="00566D08" w:rsidP="00566D08">
                            <w:pPr>
                              <w:jc w:val="center"/>
                              <w:rPr>
                                <w:b/>
                                <w:color w:val="17365D" w:themeColor="text2" w:themeShade="BF"/>
                              </w:rPr>
                            </w:pPr>
                            <w:r>
                              <w:rPr>
                                <w:b/>
                                <w:color w:val="17365D" w:themeColor="text2" w:themeShade="BF"/>
                              </w:rPr>
                              <w:t>NCDHHS Division of Social Services/Office of Economic Opportunity</w:t>
                            </w:r>
                            <w:r w:rsidRPr="00D6358C">
                              <w:rPr>
                                <w:b/>
                                <w:color w:val="17365D" w:themeColor="text2" w:themeShade="BF"/>
                              </w:rPr>
                              <w:t xml:space="preserve"> - Community Services Block Grant</w:t>
                            </w:r>
                            <w:r>
                              <w:rPr>
                                <w:b/>
                                <w:color w:val="17365D" w:themeColor="text2" w:themeShade="BF"/>
                              </w:rPr>
                              <w:t xml:space="preserve"> (CSBG)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4C8DB" id="Rectangle 1" o:spid="_x0000_s1026" style="position:absolute;left:0;text-align:left;margin-left:-9.75pt;margin-top:-48.8pt;width:516.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" fillcolor="#fac090" strokecolor="#099" strokeweight="2pt">
                <v:textbox>
                  <w:txbxContent>
                    <w:p w:rsidR="00566D08" w:rsidRPr="00D6358C" w:rsidRDefault="00566D08" w:rsidP="00566D08">
                      <w:pPr>
                        <w:jc w:val="center"/>
                        <w:rPr>
                          <w:b/>
                          <w:color w:val="17365D" w:themeColor="text2" w:themeShade="BF"/>
                        </w:rPr>
                      </w:pPr>
                      <w:r>
                        <w:rPr>
                          <w:b/>
                          <w:color w:val="17365D" w:themeColor="text2" w:themeShade="BF"/>
                        </w:rPr>
                        <w:t>NCDHHS Division of Social Services/Office of Economic Opportunity</w:t>
                      </w:r>
                      <w:r w:rsidRPr="00D6358C">
                        <w:rPr>
                          <w:b/>
                          <w:color w:val="17365D" w:themeColor="text2" w:themeShade="BF"/>
                        </w:rPr>
                        <w:t xml:space="preserve"> - Community Services Block Grant</w:t>
                      </w:r>
                      <w:r>
                        <w:rPr>
                          <w:b/>
                          <w:color w:val="17365D" w:themeColor="text2" w:themeShade="BF"/>
                        </w:rPr>
                        <w:t xml:space="preserve"> (CSBG)</w:t>
                      </w:r>
                    </w:p>
                  </w:txbxContent>
                </v:textbox>
              </v:rect>
            </w:pict>
          </mc:Fallback>
        </mc:AlternateContent>
      </w:r>
    </w:p>
    <w:p w:rsidR="00C91028" w:rsidRPr="00C91028" w:rsidRDefault="00C91028" w:rsidP="00E417DD">
      <w:pPr>
        <w:spacing w:after="0" w:line="240" w:lineRule="auto"/>
        <w:ind w:left="1440" w:hanging="1440"/>
      </w:pPr>
      <w:r>
        <w:rPr>
          <w:u w:val="single"/>
        </w:rPr>
        <w:t>Title:</w:t>
      </w:r>
      <w:r>
        <w:tab/>
      </w:r>
      <w:r w:rsidR="003028BA">
        <w:t xml:space="preserve">Raising North Carolina Poverty Level to 125% </w:t>
      </w:r>
      <w:r w:rsidR="009A0EA8">
        <w:t xml:space="preserve">- </w:t>
      </w:r>
      <w:r w:rsidR="005C4927">
        <w:t xml:space="preserve">Guidance Memorandum </w:t>
      </w:r>
      <w:r w:rsidR="00333D2F">
        <w:t>201</w:t>
      </w:r>
      <w:r w:rsidR="00681640">
        <w:t>8-</w:t>
      </w:r>
      <w:r w:rsidR="000E7C93">
        <w:t>3</w:t>
      </w:r>
    </w:p>
    <w:p w:rsidR="00E417DD" w:rsidRDefault="00E417DD" w:rsidP="00E417DD">
      <w:pPr>
        <w:spacing w:after="0" w:line="240" w:lineRule="auto"/>
        <w:ind w:left="1440" w:hanging="1440"/>
        <w:rPr>
          <w:u w:val="single"/>
        </w:rPr>
      </w:pPr>
    </w:p>
    <w:p w:rsidR="00791DDF" w:rsidRDefault="00C91028" w:rsidP="004B4B44">
      <w:pPr>
        <w:spacing w:after="0" w:line="240" w:lineRule="auto"/>
        <w:ind w:left="1440" w:hanging="1440"/>
        <w:rPr>
          <w:u w:val="single"/>
        </w:rPr>
      </w:pPr>
      <w:r w:rsidRPr="00C91028">
        <w:rPr>
          <w:u w:val="single"/>
        </w:rPr>
        <w:t>Purpose</w:t>
      </w:r>
      <w:r>
        <w:t>:</w:t>
      </w:r>
      <w:r>
        <w:tab/>
      </w:r>
      <w:r w:rsidR="00A30196">
        <w:t>To provide</w:t>
      </w:r>
      <w:r w:rsidR="004B4B44" w:rsidRPr="004B4B44">
        <w:t xml:space="preserve"> </w:t>
      </w:r>
      <w:r w:rsidR="004B4B44">
        <w:t>consistent guidance</w:t>
      </w:r>
      <w:r w:rsidR="00BE2B1F">
        <w:t xml:space="preserve"> </w:t>
      </w:r>
      <w:r w:rsidR="004B4B44">
        <w:t>on required procedures and documentation necessary to</w:t>
      </w:r>
      <w:r w:rsidR="009A0EA8">
        <w:t xml:space="preserve"> provide services for</w:t>
      </w:r>
      <w:r w:rsidR="003028BA">
        <w:t xml:space="preserve"> persons or families that are at 125%</w:t>
      </w:r>
      <w:r w:rsidR="00435291">
        <w:t>.</w:t>
      </w:r>
    </w:p>
    <w:p w:rsidR="00435291" w:rsidRDefault="00435291" w:rsidP="00E417DD">
      <w:pPr>
        <w:spacing w:after="0" w:line="240" w:lineRule="auto"/>
        <w:ind w:left="1440" w:hanging="1440"/>
        <w:rPr>
          <w:u w:val="single"/>
        </w:rPr>
      </w:pPr>
    </w:p>
    <w:p w:rsidR="005C4927" w:rsidRPr="005C4927" w:rsidRDefault="005C4927" w:rsidP="004B0466">
      <w:pPr>
        <w:spacing w:after="0" w:line="240" w:lineRule="auto"/>
        <w:ind w:left="1440" w:hanging="1440"/>
      </w:pPr>
      <w:r>
        <w:rPr>
          <w:u w:val="single"/>
        </w:rPr>
        <w:t>Effective Date:</w:t>
      </w:r>
      <w:r>
        <w:tab/>
      </w:r>
      <w:r w:rsidR="005A56CB">
        <w:t>Ju</w:t>
      </w:r>
      <w:r w:rsidR="009A0EA8">
        <w:t xml:space="preserve">ly </w:t>
      </w:r>
      <w:r w:rsidR="005A56CB">
        <w:t>1, 2018</w:t>
      </w:r>
    </w:p>
    <w:p w:rsidR="00791DDF" w:rsidRDefault="00791DDF" w:rsidP="00E417DD">
      <w:pPr>
        <w:spacing w:after="0" w:line="240" w:lineRule="auto"/>
        <w:ind w:left="1440" w:hanging="1440"/>
        <w:rPr>
          <w:u w:val="single"/>
        </w:rPr>
      </w:pPr>
    </w:p>
    <w:p w:rsidR="00E417DD" w:rsidRDefault="00E417DD" w:rsidP="00E417DD">
      <w:pPr>
        <w:spacing w:after="0" w:line="240" w:lineRule="auto"/>
        <w:ind w:left="1440" w:hanging="1440"/>
      </w:pPr>
      <w:r>
        <w:rPr>
          <w:u w:val="single"/>
        </w:rPr>
        <w:t>Related</w:t>
      </w:r>
      <w:r>
        <w:tab/>
      </w:r>
      <w:r w:rsidR="00BE2B1F">
        <w:t xml:space="preserve"> (No Related GM)</w:t>
      </w:r>
    </w:p>
    <w:p w:rsidR="00361556" w:rsidRDefault="00361556" w:rsidP="000C6D2E">
      <w:pPr>
        <w:pBdr>
          <w:bottom w:val="single" w:sz="12" w:space="1" w:color="auto"/>
        </w:pBdr>
        <w:spacing w:line="240" w:lineRule="auto"/>
        <w:rPr>
          <w:u w:val="single"/>
        </w:rPr>
      </w:pPr>
    </w:p>
    <w:p w:rsidR="00B5218F" w:rsidRDefault="00E417DD" w:rsidP="00837177">
      <w:pPr>
        <w:spacing w:after="0" w:line="240" w:lineRule="auto"/>
        <w:outlineLvl w:val="1"/>
      </w:pPr>
      <w:r w:rsidRPr="0085078A">
        <w:rPr>
          <w:u w:val="single"/>
        </w:rPr>
        <w:t>Resources</w:t>
      </w:r>
      <w:r w:rsidRPr="0085078A">
        <w:t>:</w:t>
      </w:r>
      <w:r w:rsidR="006B43A9">
        <w:t xml:space="preserve"> Code </w:t>
      </w:r>
      <w:r w:rsidR="002C371A">
        <w:t xml:space="preserve">of </w:t>
      </w:r>
      <w:r w:rsidR="00B20397">
        <w:t>Federal</w:t>
      </w:r>
      <w:r w:rsidR="002C371A">
        <w:t xml:space="preserve"> Regulations </w:t>
      </w:r>
      <w:r w:rsidR="00B20397">
        <w:t xml:space="preserve">Title 45 Part 1611 – Financial Eligibility </w:t>
      </w:r>
    </w:p>
    <w:p w:rsidR="00837177" w:rsidRPr="0085078A" w:rsidRDefault="00BE2B1F" w:rsidP="00837177">
      <w:pPr>
        <w:spacing w:after="0" w:line="240" w:lineRule="auto"/>
        <w:outlineLvl w:val="1"/>
      </w:pPr>
      <w:r w:rsidRPr="0085078A">
        <w:tab/>
      </w:r>
    </w:p>
    <w:p w:rsidR="006B43A9" w:rsidRPr="006B43A9" w:rsidRDefault="006B43A9" w:rsidP="006B43A9">
      <w:pPr>
        <w:spacing w:after="0" w:line="240" w:lineRule="auto"/>
        <w:rPr>
          <w:rFonts w:eastAsia="Times New Roman" w:cstheme="minorHAnsi"/>
        </w:rPr>
      </w:pPr>
      <w:r w:rsidRPr="006B43A9">
        <w:rPr>
          <w:rFonts w:eastAsia="Times New Roman" w:cstheme="minorHAnsi"/>
        </w:rPr>
        <w:t xml:space="preserve">§ 1611.3 Financial eligibility policies. </w:t>
      </w:r>
    </w:p>
    <w:p w:rsidR="006B43A9" w:rsidRPr="006B43A9" w:rsidRDefault="006B43A9" w:rsidP="006B43A9">
      <w:pPr>
        <w:spacing w:after="0" w:line="240" w:lineRule="auto"/>
        <w:rPr>
          <w:rFonts w:eastAsia="Times New Roman" w:cstheme="minorHAnsi"/>
        </w:rPr>
      </w:pPr>
      <w:r w:rsidRPr="006B43A9">
        <w:rPr>
          <w:rFonts w:eastAsia="Times New Roman" w:cstheme="minorHAnsi"/>
        </w:rPr>
        <w:t>(a) The governing body of a recipient shall adopt policies consistent with this part for determining the financial eligibility of applicants and groups. The governing body shall review its financial eligibility policies at least once every three years and adjust as necessary. The recipient shall implement procedures consistent with its policies.</w:t>
      </w:r>
    </w:p>
    <w:p w:rsidR="006B43A9" w:rsidRPr="006B43A9" w:rsidRDefault="006B43A9" w:rsidP="006B43A9">
      <w:pPr>
        <w:spacing w:after="0" w:line="240" w:lineRule="auto"/>
        <w:rPr>
          <w:rFonts w:eastAsia="Times New Roman" w:cstheme="minorHAnsi"/>
        </w:rPr>
      </w:pPr>
      <w:r w:rsidRPr="006B43A9">
        <w:rPr>
          <w:rFonts w:eastAsia="Times New Roman" w:cstheme="minorHAnsi"/>
        </w:rPr>
        <w:t>(b) As part of its financial eligibility policies, every recipient shall specify that only individuals and groups determined to be financially eligible under the recipient's financial eligibility policies and LSC regulations may receive legal assistance supported with LSC funds.</w:t>
      </w:r>
    </w:p>
    <w:p w:rsidR="006B43A9" w:rsidRPr="006B43A9" w:rsidRDefault="006B43A9" w:rsidP="006B43A9">
      <w:pPr>
        <w:spacing w:after="0" w:line="240" w:lineRule="auto"/>
        <w:rPr>
          <w:rFonts w:eastAsia="Times New Roman" w:cstheme="minorHAnsi"/>
        </w:rPr>
      </w:pPr>
      <w:r w:rsidRPr="006B43A9">
        <w:rPr>
          <w:rFonts w:eastAsia="Times New Roman" w:cstheme="minorHAnsi"/>
        </w:rPr>
        <w:t xml:space="preserve">(c)(1) As part of its financial eligibility policies, every recipient shall establish annual income ceilings for individuals and households, which may not exceed one hundred and twenty five percent (125%) of the current official Federal Poverty Guidelines amounts. The Corporation shall annually calculate 125% of the Federal Poverty Guidelines amounts and publish such calculations in the </w:t>
      </w:r>
      <w:r w:rsidRPr="006B43A9">
        <w:rPr>
          <w:rFonts w:eastAsia="Times New Roman" w:cstheme="minorHAnsi"/>
          <w:b/>
          <w:bCs/>
        </w:rPr>
        <w:t>Federal Register</w:t>
      </w:r>
      <w:r w:rsidRPr="006B43A9">
        <w:rPr>
          <w:rFonts w:eastAsia="Times New Roman" w:cstheme="minorHAnsi"/>
        </w:rPr>
        <w:t xml:space="preserve"> as a revision to Appendix A to this part.</w:t>
      </w:r>
    </w:p>
    <w:p w:rsidR="006B43A9" w:rsidRPr="006B43A9" w:rsidRDefault="006B43A9" w:rsidP="006B43A9">
      <w:pPr>
        <w:spacing w:after="0" w:line="240" w:lineRule="auto"/>
        <w:rPr>
          <w:rFonts w:eastAsia="Times New Roman" w:cstheme="minorHAnsi"/>
        </w:rPr>
      </w:pPr>
      <w:r w:rsidRPr="006B43A9">
        <w:rPr>
          <w:rFonts w:eastAsia="Times New Roman" w:cstheme="minorHAnsi"/>
        </w:rPr>
        <w:t>(2) As part of its financial eligibility policies, a recipient may adopt authorized exceptions to its annual income ceilings consistent with § 1611.5.</w:t>
      </w:r>
    </w:p>
    <w:p w:rsidR="006B43A9" w:rsidRPr="006B43A9" w:rsidRDefault="006B43A9" w:rsidP="006B43A9">
      <w:pPr>
        <w:spacing w:after="0" w:line="240" w:lineRule="auto"/>
        <w:rPr>
          <w:rFonts w:eastAsia="Times New Roman" w:cstheme="minorHAnsi"/>
        </w:rPr>
      </w:pPr>
      <w:r w:rsidRPr="006B43A9">
        <w:rPr>
          <w:rFonts w:eastAsia="Times New Roman" w:cstheme="minorHAnsi"/>
        </w:rPr>
        <w:t>(d)(1) As part of its financial eligibility policies, every recipient shall establish reasonable asset ceilings for individuals and households. In establishing asset ceilings, the recipient may exclude consideration of a household's principal residence, vehicles used for transportation, assets used in producing income, and other assets which are exempt from attachment under State or Federal law.</w:t>
      </w:r>
    </w:p>
    <w:p w:rsidR="006B43A9" w:rsidRPr="006B43A9" w:rsidRDefault="006B43A9" w:rsidP="006B43A9">
      <w:pPr>
        <w:spacing w:after="0" w:line="240" w:lineRule="auto"/>
        <w:rPr>
          <w:rFonts w:eastAsia="Times New Roman" w:cstheme="minorHAnsi"/>
        </w:rPr>
      </w:pPr>
      <w:r w:rsidRPr="006B43A9">
        <w:rPr>
          <w:rFonts w:eastAsia="Times New Roman" w:cstheme="minorHAnsi"/>
        </w:rPr>
        <w:t>(2) The recipient's policies may provide authority for waiver of its asset ceilings for specific applicants under unusual circumstances and when approved by the recipient's Executive Director, or his/her designee. When the asset ceiling is waived, the recipient shall record the reasons for such waiver and shall keep such records as are necessary to inform the Corporation of the reasons for such waiver.</w:t>
      </w:r>
    </w:p>
    <w:p w:rsidR="006B43A9" w:rsidRPr="009150FE" w:rsidRDefault="006B43A9" w:rsidP="006B43A9">
      <w:pPr>
        <w:spacing w:after="0" w:line="240" w:lineRule="auto"/>
        <w:rPr>
          <w:rFonts w:eastAsia="Times New Roman" w:cstheme="minorHAnsi"/>
        </w:rPr>
      </w:pPr>
      <w:r w:rsidRPr="006B43A9">
        <w:rPr>
          <w:rFonts w:eastAsia="Times New Roman" w:cstheme="minorHAnsi"/>
        </w:rPr>
        <w:t xml:space="preserve">(e) Notwithstanding any other provision of this part, or other provision of the recipient's financial eligibility policies, every recipient shall specify as part of its financial eligibility policies that in assessing the income or assets of an applicant who is a victim of domestic violence, the recipient shall consider only the assets and income of the applicant and members of the applicant's household other than those of the alleged perpetrator of the domestic violence and shall not include any assets held by the alleged perpetrator of the domestic violence, jointly held by the </w:t>
      </w:r>
      <w:r w:rsidRPr="009150FE">
        <w:rPr>
          <w:rFonts w:eastAsia="Times New Roman" w:cstheme="minorHAnsi"/>
        </w:rPr>
        <w:t>applicant with the alleged perpetrator of the domestic violence, or assets jointly held by any member of the applicant's household with the alleged perpetrator of the domestic violence.</w:t>
      </w:r>
    </w:p>
    <w:p w:rsidR="006B43A9" w:rsidRPr="006B43A9" w:rsidRDefault="006B43A9" w:rsidP="006B43A9">
      <w:pPr>
        <w:spacing w:after="0" w:line="240" w:lineRule="auto"/>
        <w:rPr>
          <w:rFonts w:eastAsia="Times New Roman" w:cstheme="minorHAnsi"/>
        </w:rPr>
      </w:pPr>
      <w:r w:rsidRPr="006B43A9">
        <w:rPr>
          <w:rFonts w:eastAsia="Times New Roman" w:cstheme="minorHAnsi"/>
        </w:rPr>
        <w:lastRenderedPageBreak/>
        <w:t>(f) As part of its financial eligibility policies, a recipient may adopt policies that permit financial eligibility to be established by reference to an applicant's receipt of benefits from a governmental program for low-income individuals or families consistent with § 1611.4(c).</w:t>
      </w:r>
    </w:p>
    <w:p w:rsidR="006B43A9" w:rsidRPr="006B43A9" w:rsidRDefault="006B43A9" w:rsidP="006B43A9">
      <w:pPr>
        <w:spacing w:after="0" w:line="240" w:lineRule="auto"/>
        <w:rPr>
          <w:rFonts w:eastAsia="Times New Roman" w:cstheme="minorHAnsi"/>
        </w:rPr>
      </w:pPr>
      <w:r w:rsidRPr="006B43A9">
        <w:rPr>
          <w:rFonts w:eastAsia="Times New Roman" w:cstheme="minorHAnsi"/>
        </w:rPr>
        <w:t xml:space="preserve">(g) Before establishing its financial eligibility policies, a recipient shall consider the cost of living in the service area or locality and other relevant factors, including but not limited to: </w:t>
      </w:r>
    </w:p>
    <w:p w:rsidR="006B43A9" w:rsidRPr="006B43A9" w:rsidRDefault="006B43A9" w:rsidP="006B43A9">
      <w:pPr>
        <w:spacing w:after="75" w:line="240" w:lineRule="auto"/>
        <w:rPr>
          <w:rFonts w:eastAsia="Times New Roman" w:cstheme="minorHAnsi"/>
          <w:vanish/>
        </w:rPr>
      </w:pPr>
      <w:r w:rsidRPr="006B43A9">
        <w:rPr>
          <w:rFonts w:eastAsia="Times New Roman" w:cstheme="minorHAnsi"/>
          <w:vanish/>
        </w:rPr>
        <w:t>Code of Federal Regulations / Title 45 - Public Welfare / Vol. 4 / 2017-10-01448</w:t>
      </w:r>
    </w:p>
    <w:p w:rsidR="006B43A9" w:rsidRPr="006B43A9" w:rsidRDefault="006B43A9" w:rsidP="006B43A9">
      <w:pPr>
        <w:spacing w:after="0" w:line="240" w:lineRule="auto"/>
        <w:ind w:left="360"/>
        <w:jc w:val="both"/>
        <w:rPr>
          <w:rFonts w:eastAsia="Times New Roman" w:cstheme="minorHAnsi"/>
        </w:rPr>
      </w:pPr>
      <w:r w:rsidRPr="006B43A9">
        <w:rPr>
          <w:rFonts w:eastAsia="Times New Roman" w:cstheme="minorHAnsi"/>
        </w:rPr>
        <w:t>(1) The number of clients who can be served by the resources of the recipient;</w:t>
      </w:r>
    </w:p>
    <w:p w:rsidR="006B43A9" w:rsidRPr="006B43A9" w:rsidRDefault="006B43A9" w:rsidP="006B43A9">
      <w:pPr>
        <w:spacing w:after="0" w:line="240" w:lineRule="auto"/>
        <w:ind w:left="360"/>
        <w:jc w:val="both"/>
        <w:rPr>
          <w:rFonts w:eastAsia="Times New Roman" w:cstheme="minorHAnsi"/>
        </w:rPr>
      </w:pPr>
      <w:r w:rsidRPr="006B43A9">
        <w:rPr>
          <w:rFonts w:eastAsia="Times New Roman" w:cstheme="minorHAnsi"/>
        </w:rPr>
        <w:t>(2) The population that would be eligible at and below alternative income and asset ceilings; and</w:t>
      </w:r>
    </w:p>
    <w:p w:rsidR="003D6671" w:rsidRPr="006B43A9" w:rsidRDefault="006B43A9" w:rsidP="006B43A9">
      <w:pPr>
        <w:spacing w:after="0" w:line="240" w:lineRule="auto"/>
        <w:ind w:left="360"/>
        <w:jc w:val="both"/>
        <w:rPr>
          <w:rFonts w:cstheme="minorHAnsi"/>
        </w:rPr>
      </w:pPr>
      <w:r w:rsidRPr="006B43A9">
        <w:rPr>
          <w:rFonts w:eastAsia="Times New Roman" w:cstheme="minorHAnsi"/>
        </w:rPr>
        <w:t>(3) The availability and cost of legal services provided by the private bar and other free or low cost legal services providers in the area</w:t>
      </w:r>
    </w:p>
    <w:p w:rsidR="00B13F6A" w:rsidRPr="00B13F6A" w:rsidRDefault="00B13F6A" w:rsidP="0036778C">
      <w:pPr>
        <w:pBdr>
          <w:bottom w:val="single" w:sz="12" w:space="1" w:color="auto"/>
        </w:pBdr>
        <w:spacing w:after="0" w:line="240" w:lineRule="auto"/>
        <w:rPr>
          <w:bCs/>
        </w:rPr>
      </w:pPr>
    </w:p>
    <w:p w:rsidR="009A0EA8" w:rsidRDefault="009A0EA8" w:rsidP="00774FFF">
      <w:pPr>
        <w:spacing w:after="0" w:line="240" w:lineRule="auto"/>
        <w:rPr>
          <w:b/>
          <w:u w:val="single"/>
        </w:rPr>
      </w:pPr>
    </w:p>
    <w:p w:rsidR="00E417DD" w:rsidRDefault="00E417DD" w:rsidP="00774FFF">
      <w:pPr>
        <w:spacing w:after="0" w:line="240" w:lineRule="auto"/>
        <w:rPr>
          <w:b/>
          <w:u w:val="single"/>
        </w:rPr>
      </w:pPr>
      <w:r w:rsidRPr="0085078A">
        <w:rPr>
          <w:b/>
          <w:u w:val="single"/>
        </w:rPr>
        <w:t>Background</w:t>
      </w:r>
    </w:p>
    <w:p w:rsidR="009A0EA8" w:rsidRPr="0085078A" w:rsidRDefault="009A0EA8" w:rsidP="00774FFF">
      <w:pPr>
        <w:spacing w:after="0" w:line="240" w:lineRule="auto"/>
        <w:rPr>
          <w:b/>
          <w:u w:val="single"/>
        </w:rPr>
      </w:pPr>
    </w:p>
    <w:p w:rsidR="003D6671" w:rsidRDefault="00B20397" w:rsidP="00377C0F">
      <w:pPr>
        <w:spacing w:after="0" w:line="240" w:lineRule="auto"/>
        <w:rPr>
          <w:b/>
          <w:u w:val="single"/>
        </w:rPr>
      </w:pPr>
      <w:r>
        <w:t>Per the Code of Federal Regulations, the</w:t>
      </w:r>
      <w:r w:rsidR="00435291">
        <w:t xml:space="preserve"> Office of Economic Opportunity (OEO) </w:t>
      </w:r>
      <w:r>
        <w:t>in acc</w:t>
      </w:r>
      <w:r w:rsidR="00273943">
        <w:t>o</w:t>
      </w:r>
      <w:r w:rsidR="009150FE">
        <w:t>rdance</w:t>
      </w:r>
      <w:r>
        <w:t xml:space="preserve"> </w:t>
      </w:r>
      <w:r w:rsidR="009150FE">
        <w:t>with</w:t>
      </w:r>
      <w:r>
        <w:t xml:space="preserve"> 1611.3 reviewed our policy as stated it should be done once every three years. Therefore, after researching the current policy</w:t>
      </w:r>
      <w:r w:rsidR="009150FE">
        <w:t>,</w:t>
      </w:r>
      <w:r>
        <w:t xml:space="preserve"> the decision was made to raise the income ceiling to 125% </w:t>
      </w:r>
      <w:r w:rsidR="005D2F1F">
        <w:t>to</w:t>
      </w:r>
      <w:r>
        <w:t xml:space="preserve"> match the feds.</w:t>
      </w:r>
      <w:r w:rsidR="00273943">
        <w:t xml:space="preserve"> OEO feels that raising the ceiling </w:t>
      </w:r>
      <w:r w:rsidR="009150FE">
        <w:t xml:space="preserve">will allow </w:t>
      </w:r>
      <w:r w:rsidR="00273943">
        <w:t xml:space="preserve">more citizens in North Carolina </w:t>
      </w:r>
      <w:r w:rsidR="009150FE">
        <w:t>to become</w:t>
      </w:r>
      <w:r w:rsidR="00273943">
        <w:t xml:space="preserve"> eligible to receive services provided by the state’s Community Action Agencies. OEO will have </w:t>
      </w:r>
      <w:r w:rsidR="00435291">
        <w:t>final approval</w:t>
      </w:r>
      <w:r w:rsidR="00273943">
        <w:t xml:space="preserve"> and d</w:t>
      </w:r>
      <w:r w:rsidR="003E2114">
        <w:t>eems</w:t>
      </w:r>
      <w:r w:rsidR="00435291">
        <w:t xml:space="preserve"> it necessary to issue </w:t>
      </w:r>
      <w:r w:rsidR="00273943">
        <w:t xml:space="preserve">this </w:t>
      </w:r>
      <w:r w:rsidR="00435291">
        <w:t xml:space="preserve">guidance </w:t>
      </w:r>
      <w:r w:rsidR="00273943">
        <w:t xml:space="preserve">memoranda </w:t>
      </w:r>
      <w:r w:rsidR="003E2114">
        <w:t>on</w:t>
      </w:r>
      <w:r w:rsidR="00435291">
        <w:t xml:space="preserve"> this matter </w:t>
      </w:r>
      <w:r w:rsidR="005A56CB">
        <w:t>to</w:t>
      </w:r>
      <w:r w:rsidR="00435291">
        <w:t xml:space="preserve"> inform agencies of allowable practices and costs. </w:t>
      </w:r>
      <w:r w:rsidR="00F239EE">
        <w:t xml:space="preserve">Agencies are expected to provide all services to </w:t>
      </w:r>
      <w:r w:rsidR="00273943">
        <w:t>all eligible persons in their service areas that meet these guidelines. T</w:t>
      </w:r>
      <w:r w:rsidR="0085078A">
        <w:t xml:space="preserve">his GM will provide information </w:t>
      </w:r>
      <w:r w:rsidR="00FC06DE" w:rsidRPr="0085078A">
        <w:t xml:space="preserve">needed to promote </w:t>
      </w:r>
      <w:r w:rsidR="007B0144">
        <w:t xml:space="preserve">a </w:t>
      </w:r>
      <w:r w:rsidR="0036778C">
        <w:t>consistent</w:t>
      </w:r>
      <w:r w:rsidR="007B0144">
        <w:t xml:space="preserve"> approach </w:t>
      </w:r>
      <w:r w:rsidR="003D6671">
        <w:t>to serving</w:t>
      </w:r>
      <w:r w:rsidR="003D017C">
        <w:t xml:space="preserve"> </w:t>
      </w:r>
      <w:r w:rsidR="00273943">
        <w:t xml:space="preserve">more North Carolina citizens </w:t>
      </w:r>
      <w:r w:rsidR="003E2114">
        <w:t>with</w:t>
      </w:r>
      <w:r w:rsidR="003D017C">
        <w:t xml:space="preserve"> CSBG funds</w:t>
      </w:r>
      <w:r w:rsidR="009113A3">
        <w:t>.</w:t>
      </w:r>
    </w:p>
    <w:p w:rsidR="003D6671" w:rsidRDefault="003D6671" w:rsidP="00377C0F">
      <w:pPr>
        <w:spacing w:after="0" w:line="240" w:lineRule="auto"/>
        <w:rPr>
          <w:b/>
          <w:u w:val="single"/>
        </w:rPr>
      </w:pPr>
    </w:p>
    <w:p w:rsidR="00E7442A" w:rsidRDefault="00E7442A" w:rsidP="00377C0F">
      <w:pPr>
        <w:spacing w:after="0" w:line="240" w:lineRule="auto"/>
        <w:rPr>
          <w:b/>
          <w:u w:val="single"/>
        </w:rPr>
      </w:pPr>
      <w:r w:rsidRPr="0085078A">
        <w:rPr>
          <w:b/>
          <w:u w:val="single"/>
        </w:rPr>
        <w:t xml:space="preserve">State </w:t>
      </w:r>
      <w:r w:rsidR="007B73BF">
        <w:rPr>
          <w:b/>
          <w:u w:val="single"/>
        </w:rPr>
        <w:t>Guidance</w:t>
      </w:r>
      <w:r w:rsidR="00D21979">
        <w:rPr>
          <w:b/>
          <w:u w:val="single"/>
        </w:rPr>
        <w:t xml:space="preserve"> and Interpretation</w:t>
      </w:r>
      <w:r w:rsidR="004249F0">
        <w:rPr>
          <w:b/>
          <w:u w:val="single"/>
        </w:rPr>
        <w:t xml:space="preserve"> for </w:t>
      </w:r>
      <w:r w:rsidR="006B43A9">
        <w:rPr>
          <w:b/>
          <w:u w:val="single"/>
        </w:rPr>
        <w:t xml:space="preserve">raising the level to 125% </w:t>
      </w:r>
      <w:r w:rsidR="003D017C">
        <w:rPr>
          <w:b/>
          <w:u w:val="single"/>
        </w:rPr>
        <w:t>in North Carolina</w:t>
      </w:r>
      <w:r w:rsidR="006B43A9">
        <w:rPr>
          <w:b/>
          <w:u w:val="single"/>
        </w:rPr>
        <w:t xml:space="preserve"> are</w:t>
      </w:r>
      <w:r w:rsidR="003D017C">
        <w:rPr>
          <w:b/>
          <w:u w:val="single"/>
        </w:rPr>
        <w:t>:</w:t>
      </w:r>
    </w:p>
    <w:p w:rsidR="003D017C" w:rsidRDefault="003D017C" w:rsidP="00377C0F">
      <w:pPr>
        <w:spacing w:after="0" w:line="240" w:lineRule="auto"/>
        <w:rPr>
          <w:b/>
          <w:u w:val="single"/>
        </w:rPr>
      </w:pPr>
    </w:p>
    <w:p w:rsidR="00385ADA" w:rsidRDefault="003A4528" w:rsidP="00377C0F">
      <w:pPr>
        <w:pStyle w:val="ListParagraph"/>
        <w:numPr>
          <w:ilvl w:val="0"/>
          <w:numId w:val="9"/>
        </w:numPr>
        <w:spacing w:after="0" w:line="240" w:lineRule="auto"/>
        <w:ind w:left="360"/>
      </w:pPr>
      <w:r w:rsidRPr="00877F90">
        <w:t xml:space="preserve">Agencies must </w:t>
      </w:r>
      <w:r w:rsidR="003318DC">
        <w:t xml:space="preserve">update their program participants </w:t>
      </w:r>
      <w:r w:rsidR="00350C68">
        <w:t xml:space="preserve">guide to reflect the new poverty level. </w:t>
      </w:r>
      <w:r w:rsidR="003318DC">
        <w:t xml:space="preserve">These updates should be reflected in Board of Directors’ minutes with BOD </w:t>
      </w:r>
      <w:r w:rsidR="009113A3">
        <w:t>approv</w:t>
      </w:r>
      <w:r w:rsidR="003318DC">
        <w:t>al.</w:t>
      </w:r>
      <w:r w:rsidR="0089389A">
        <w:t xml:space="preserve"> </w:t>
      </w:r>
    </w:p>
    <w:p w:rsidR="004249F0" w:rsidRDefault="004249F0" w:rsidP="00377C0F">
      <w:pPr>
        <w:pStyle w:val="ListParagraph"/>
        <w:spacing w:after="0" w:line="240" w:lineRule="auto"/>
        <w:ind w:left="360"/>
      </w:pPr>
    </w:p>
    <w:p w:rsidR="004249F0" w:rsidRDefault="00385ADA" w:rsidP="00377C0F">
      <w:pPr>
        <w:pStyle w:val="ListParagraph"/>
        <w:numPr>
          <w:ilvl w:val="0"/>
          <w:numId w:val="9"/>
        </w:numPr>
        <w:spacing w:after="0" w:line="240" w:lineRule="auto"/>
        <w:ind w:left="360"/>
      </w:pPr>
      <w:r w:rsidRPr="00385ADA">
        <w:t xml:space="preserve">Agencies must </w:t>
      </w:r>
      <w:r w:rsidR="003318DC">
        <w:t xml:space="preserve">provide OEO </w:t>
      </w:r>
      <w:r w:rsidR="00350C68">
        <w:t>(Program Analyst) a</w:t>
      </w:r>
      <w:r w:rsidR="003318DC">
        <w:t xml:space="preserve"> clear definition and program scope as to what type of </w:t>
      </w:r>
      <w:r w:rsidR="00350C68">
        <w:t xml:space="preserve">new </w:t>
      </w:r>
      <w:r w:rsidR="003318DC">
        <w:t>services</w:t>
      </w:r>
      <w:r w:rsidR="003E2114">
        <w:t>,</w:t>
      </w:r>
      <w:r w:rsidR="003318DC">
        <w:t xml:space="preserve"> </w:t>
      </w:r>
      <w:r w:rsidR="00350C68">
        <w:t>if any</w:t>
      </w:r>
      <w:r w:rsidR="003E2114">
        <w:t>,</w:t>
      </w:r>
      <w:r w:rsidR="00350C68">
        <w:t xml:space="preserve"> </w:t>
      </w:r>
      <w:r w:rsidR="003E2114">
        <w:t xml:space="preserve">will be provided </w:t>
      </w:r>
      <w:r w:rsidR="00350C68">
        <w:t xml:space="preserve">for additional program participants that may be at </w:t>
      </w:r>
      <w:r w:rsidR="005D2F1F">
        <w:t>various levels</w:t>
      </w:r>
      <w:r w:rsidR="00350C68">
        <w:t xml:space="preserve"> of need</w:t>
      </w:r>
      <w:r w:rsidR="003318DC">
        <w:t xml:space="preserve">. </w:t>
      </w:r>
    </w:p>
    <w:p w:rsidR="004249F0" w:rsidRDefault="004249F0" w:rsidP="00377C0F">
      <w:pPr>
        <w:spacing w:after="0" w:line="240" w:lineRule="auto"/>
      </w:pPr>
    </w:p>
    <w:p w:rsidR="00385ADA" w:rsidRDefault="0002570E" w:rsidP="00377C0F">
      <w:pPr>
        <w:pStyle w:val="ListParagraph"/>
        <w:numPr>
          <w:ilvl w:val="0"/>
          <w:numId w:val="9"/>
        </w:numPr>
        <w:spacing w:after="0" w:line="240" w:lineRule="auto"/>
        <w:ind w:left="360"/>
      </w:pPr>
      <w:r>
        <w:t xml:space="preserve">Agencies must </w:t>
      </w:r>
      <w:r w:rsidR="00385ADA" w:rsidRPr="00385ADA">
        <w:t xml:space="preserve">maintain </w:t>
      </w:r>
      <w:r w:rsidR="003318DC">
        <w:t>all</w:t>
      </w:r>
      <w:r w:rsidR="00385ADA" w:rsidRPr="00385ADA">
        <w:t xml:space="preserve"> documentation </w:t>
      </w:r>
      <w:r w:rsidR="00385ADA">
        <w:t>of the</w:t>
      </w:r>
      <w:r w:rsidR="004249F0">
        <w:t xml:space="preserve"> </w:t>
      </w:r>
      <w:r w:rsidR="003318DC">
        <w:t>services the whole family receives</w:t>
      </w:r>
      <w:r w:rsidR="00385ADA">
        <w:t>.</w:t>
      </w:r>
    </w:p>
    <w:p w:rsidR="004249F0" w:rsidRDefault="004249F0" w:rsidP="00377C0F">
      <w:pPr>
        <w:spacing w:after="0" w:line="240" w:lineRule="auto"/>
      </w:pPr>
    </w:p>
    <w:p w:rsidR="004759A4" w:rsidRDefault="003431CA" w:rsidP="00377C0F">
      <w:pPr>
        <w:pStyle w:val="ListParagraph"/>
        <w:numPr>
          <w:ilvl w:val="0"/>
          <w:numId w:val="9"/>
        </w:numPr>
        <w:spacing w:after="0" w:line="240" w:lineRule="auto"/>
        <w:ind w:left="360"/>
      </w:pPr>
      <w:r>
        <w:t>AR4CA is updated</w:t>
      </w:r>
      <w:r w:rsidR="005D2F1F">
        <w:t xml:space="preserve"> to reflect the change to </w:t>
      </w:r>
      <w:r w:rsidR="00350C68">
        <w:t>125%.</w:t>
      </w:r>
      <w:r w:rsidR="002578E3">
        <w:t xml:space="preserve"> </w:t>
      </w:r>
      <w:bookmarkStart w:id="0" w:name="_GoBack"/>
      <w:bookmarkEnd w:id="0"/>
    </w:p>
    <w:p w:rsidR="004249F0" w:rsidRDefault="004249F0" w:rsidP="00377C0F">
      <w:pPr>
        <w:spacing w:after="0" w:line="240" w:lineRule="auto"/>
      </w:pPr>
    </w:p>
    <w:p w:rsidR="00774FFF" w:rsidRDefault="00BA3F97" w:rsidP="00774FFF">
      <w:pPr>
        <w:spacing w:after="0" w:line="240" w:lineRule="auto"/>
      </w:pPr>
      <w:r w:rsidRPr="0085078A">
        <w:t>This GM is accessible</w:t>
      </w:r>
      <w:r w:rsidR="00774FFF" w:rsidRPr="0085078A">
        <w:t xml:space="preserve"> </w:t>
      </w:r>
      <w:r w:rsidR="004F76B2" w:rsidRPr="0085078A">
        <w:t>at the OEO website a</w:t>
      </w:r>
      <w:r w:rsidRPr="0085078A">
        <w:t>nd will be sourced during</w:t>
      </w:r>
      <w:r w:rsidR="00774FFF" w:rsidRPr="0085078A">
        <w:t xml:space="preserve"> OEO’s ongoing monitoring, training and technical assistance activities.</w:t>
      </w:r>
      <w:r w:rsidR="000C6D2E" w:rsidRPr="0085078A">
        <w:t xml:space="preserve">  </w:t>
      </w:r>
      <w:r w:rsidR="00774FFF" w:rsidRPr="0085078A">
        <w:t xml:space="preserve">All sub-grantee agencies will be accountable </w:t>
      </w:r>
      <w:r w:rsidR="003E2114">
        <w:t>for</w:t>
      </w:r>
      <w:r w:rsidR="00774FFF" w:rsidRPr="0085078A">
        <w:t xml:space="preserve"> </w:t>
      </w:r>
      <w:r w:rsidRPr="0085078A">
        <w:t xml:space="preserve">this </w:t>
      </w:r>
      <w:r w:rsidR="00774FFF" w:rsidRPr="0085078A">
        <w:t>informa</w:t>
      </w:r>
      <w:r w:rsidRPr="0085078A">
        <w:t>tion</w:t>
      </w:r>
      <w:r w:rsidR="00774FFF" w:rsidRPr="0085078A">
        <w:t>.</w:t>
      </w:r>
    </w:p>
    <w:p w:rsidR="00350C68" w:rsidRPr="0085078A" w:rsidRDefault="00350C68" w:rsidP="00774FFF">
      <w:pPr>
        <w:spacing w:after="0" w:line="240" w:lineRule="auto"/>
      </w:pPr>
    </w:p>
    <w:p w:rsidR="00CE056E" w:rsidRPr="0085078A" w:rsidRDefault="00CE056E" w:rsidP="00774FFF">
      <w:pPr>
        <w:spacing w:after="0" w:line="240" w:lineRule="auto"/>
      </w:pPr>
    </w:p>
    <w:p w:rsidR="00CE056E" w:rsidRPr="0085078A" w:rsidRDefault="00CE056E" w:rsidP="00774FFF">
      <w:pPr>
        <w:spacing w:after="0" w:line="240" w:lineRule="auto"/>
      </w:pPr>
      <w:r w:rsidRPr="0085078A">
        <w:t>______________________________________</w:t>
      </w:r>
      <w:r w:rsidRPr="0085078A">
        <w:tab/>
      </w:r>
      <w:r w:rsidRPr="0085078A">
        <w:tab/>
      </w:r>
      <w:r w:rsidRPr="0085078A">
        <w:tab/>
      </w:r>
      <w:r w:rsidRPr="0085078A">
        <w:tab/>
        <w:t>______________</w:t>
      </w:r>
    </w:p>
    <w:p w:rsidR="00CE056E" w:rsidRPr="0085078A" w:rsidRDefault="00CE056E" w:rsidP="00774FFF">
      <w:pPr>
        <w:spacing w:after="0" w:line="240" w:lineRule="auto"/>
      </w:pPr>
      <w:r w:rsidRPr="0085078A">
        <w:t>Office of Economic Opportunity Administrator</w:t>
      </w:r>
      <w:r w:rsidRPr="0085078A">
        <w:tab/>
      </w:r>
      <w:r w:rsidRPr="0085078A">
        <w:tab/>
      </w:r>
      <w:r w:rsidRPr="0085078A">
        <w:tab/>
      </w:r>
      <w:r w:rsidRPr="0085078A">
        <w:tab/>
        <w:t>Date</w:t>
      </w:r>
    </w:p>
    <w:p w:rsidR="00FB0CFB" w:rsidRPr="0085078A" w:rsidRDefault="00FB0CFB" w:rsidP="00774FFF">
      <w:pPr>
        <w:spacing w:after="0" w:line="240" w:lineRule="auto"/>
      </w:pPr>
    </w:p>
    <w:sectPr w:rsidR="00FB0CFB" w:rsidRPr="008507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0DE" w:rsidRDefault="006B50DE" w:rsidP="007A1865">
      <w:pPr>
        <w:spacing w:after="0" w:line="240" w:lineRule="auto"/>
      </w:pPr>
      <w:r>
        <w:separator/>
      </w:r>
    </w:p>
  </w:endnote>
  <w:endnote w:type="continuationSeparator" w:id="0">
    <w:p w:rsidR="006B50DE" w:rsidRDefault="006B50DE" w:rsidP="007A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0DE" w:rsidRDefault="006B50DE" w:rsidP="007A1865">
      <w:pPr>
        <w:spacing w:after="0" w:line="240" w:lineRule="auto"/>
      </w:pPr>
      <w:r>
        <w:separator/>
      </w:r>
    </w:p>
  </w:footnote>
  <w:footnote w:type="continuationSeparator" w:id="0">
    <w:p w:rsidR="006B50DE" w:rsidRDefault="006B50DE" w:rsidP="007A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8AA"/>
    <w:multiLevelType w:val="hybridMultilevel"/>
    <w:tmpl w:val="306CE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178C"/>
    <w:multiLevelType w:val="hybridMultilevel"/>
    <w:tmpl w:val="FFF6254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13B37"/>
    <w:multiLevelType w:val="hybridMultilevel"/>
    <w:tmpl w:val="FF04DF5C"/>
    <w:lvl w:ilvl="0" w:tplc="1AE29E86">
      <w:start w:val="1"/>
      <w:numFmt w:val="decimal"/>
      <w:lvlText w:val="%1."/>
      <w:lvlJc w:val="left"/>
      <w:pPr>
        <w:ind w:left="1080" w:hanging="360"/>
      </w:pPr>
      <w:rPr>
        <w:rFonts w:asciiTheme="minorHAnsi" w:eastAsiaTheme="minorHAnsi" w:hAnsiTheme="minorHAns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BD0D25"/>
    <w:multiLevelType w:val="hybridMultilevel"/>
    <w:tmpl w:val="1930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96FCF"/>
    <w:multiLevelType w:val="hybridMultilevel"/>
    <w:tmpl w:val="326A8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C60E1"/>
    <w:multiLevelType w:val="hybridMultilevel"/>
    <w:tmpl w:val="9104D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595C"/>
    <w:multiLevelType w:val="hybridMultilevel"/>
    <w:tmpl w:val="BFBC1672"/>
    <w:lvl w:ilvl="0" w:tplc="0409000F">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A0EBC"/>
    <w:multiLevelType w:val="hybridMultilevel"/>
    <w:tmpl w:val="87ECF1A6"/>
    <w:lvl w:ilvl="0" w:tplc="13DA054A">
      <w:start w:val="1"/>
      <w:numFmt w:val="decimal"/>
      <w:lvlText w:val="%1."/>
      <w:lvlJc w:val="left"/>
      <w:pPr>
        <w:tabs>
          <w:tab w:val="num" w:pos="360"/>
        </w:tabs>
        <w:ind w:left="360" w:hanging="360"/>
      </w:pPr>
      <w:rPr>
        <w:rFonts w:hint="default"/>
        <w:b/>
        <w:i w:val="0"/>
        <w:color w:val="auto"/>
      </w:rPr>
    </w:lvl>
    <w:lvl w:ilvl="1" w:tplc="40C8A71C">
      <w:start w:val="1"/>
      <w:numFmt w:val="lowerLetter"/>
      <w:lvlText w:val="%2."/>
      <w:lvlJc w:val="left"/>
      <w:pPr>
        <w:tabs>
          <w:tab w:val="num" w:pos="1440"/>
        </w:tabs>
        <w:ind w:left="1440" w:hanging="360"/>
      </w:pPr>
    </w:lvl>
    <w:lvl w:ilvl="2" w:tplc="6A80176A" w:tentative="1">
      <w:start w:val="1"/>
      <w:numFmt w:val="lowerRoman"/>
      <w:lvlText w:val="%3."/>
      <w:lvlJc w:val="right"/>
      <w:pPr>
        <w:tabs>
          <w:tab w:val="num" w:pos="2160"/>
        </w:tabs>
        <w:ind w:left="2160" w:hanging="180"/>
      </w:pPr>
    </w:lvl>
    <w:lvl w:ilvl="3" w:tplc="9C0AB304" w:tentative="1">
      <w:start w:val="1"/>
      <w:numFmt w:val="decimal"/>
      <w:lvlText w:val="%4."/>
      <w:lvlJc w:val="left"/>
      <w:pPr>
        <w:tabs>
          <w:tab w:val="num" w:pos="2880"/>
        </w:tabs>
        <w:ind w:left="2880" w:hanging="360"/>
      </w:pPr>
    </w:lvl>
    <w:lvl w:ilvl="4" w:tplc="371C7B18" w:tentative="1">
      <w:start w:val="1"/>
      <w:numFmt w:val="lowerLetter"/>
      <w:lvlText w:val="%5."/>
      <w:lvlJc w:val="left"/>
      <w:pPr>
        <w:tabs>
          <w:tab w:val="num" w:pos="3600"/>
        </w:tabs>
        <w:ind w:left="3600" w:hanging="360"/>
      </w:pPr>
    </w:lvl>
    <w:lvl w:ilvl="5" w:tplc="B76A10D8" w:tentative="1">
      <w:start w:val="1"/>
      <w:numFmt w:val="lowerRoman"/>
      <w:lvlText w:val="%6."/>
      <w:lvlJc w:val="right"/>
      <w:pPr>
        <w:tabs>
          <w:tab w:val="num" w:pos="4320"/>
        </w:tabs>
        <w:ind w:left="4320" w:hanging="180"/>
      </w:pPr>
    </w:lvl>
    <w:lvl w:ilvl="6" w:tplc="9EBAD99E" w:tentative="1">
      <w:start w:val="1"/>
      <w:numFmt w:val="decimal"/>
      <w:lvlText w:val="%7."/>
      <w:lvlJc w:val="left"/>
      <w:pPr>
        <w:tabs>
          <w:tab w:val="num" w:pos="5040"/>
        </w:tabs>
        <w:ind w:left="5040" w:hanging="360"/>
      </w:pPr>
    </w:lvl>
    <w:lvl w:ilvl="7" w:tplc="00A4DE7C" w:tentative="1">
      <w:start w:val="1"/>
      <w:numFmt w:val="lowerLetter"/>
      <w:lvlText w:val="%8."/>
      <w:lvlJc w:val="left"/>
      <w:pPr>
        <w:tabs>
          <w:tab w:val="num" w:pos="5760"/>
        </w:tabs>
        <w:ind w:left="5760" w:hanging="360"/>
      </w:pPr>
    </w:lvl>
    <w:lvl w:ilvl="8" w:tplc="FB905372" w:tentative="1">
      <w:start w:val="1"/>
      <w:numFmt w:val="lowerRoman"/>
      <w:lvlText w:val="%9."/>
      <w:lvlJc w:val="right"/>
      <w:pPr>
        <w:tabs>
          <w:tab w:val="num" w:pos="6480"/>
        </w:tabs>
        <w:ind w:left="6480" w:hanging="180"/>
      </w:pPr>
    </w:lvl>
  </w:abstractNum>
  <w:abstractNum w:abstractNumId="8"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B129DE"/>
    <w:multiLevelType w:val="hybridMultilevel"/>
    <w:tmpl w:val="7E60BBF6"/>
    <w:lvl w:ilvl="0" w:tplc="0409000F">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20492"/>
    <w:multiLevelType w:val="hybridMultilevel"/>
    <w:tmpl w:val="33C2EDB6"/>
    <w:lvl w:ilvl="0" w:tplc="1AE29E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A57F9"/>
    <w:multiLevelType w:val="hybridMultilevel"/>
    <w:tmpl w:val="604A7B6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1"/>
  </w:num>
  <w:num w:numId="6">
    <w:abstractNumId w:val="3"/>
  </w:num>
  <w:num w:numId="7">
    <w:abstractNumId w:val="10"/>
  </w:num>
  <w:num w:numId="8">
    <w:abstractNumId w:val="4"/>
  </w:num>
  <w:num w:numId="9">
    <w:abstractNumId w:val="2"/>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28"/>
    <w:rsid w:val="0000430C"/>
    <w:rsid w:val="00014C90"/>
    <w:rsid w:val="0002570E"/>
    <w:rsid w:val="000A059D"/>
    <w:rsid w:val="000B064A"/>
    <w:rsid w:val="000B2EA2"/>
    <w:rsid w:val="000C6D2E"/>
    <w:rsid w:val="000D195B"/>
    <w:rsid w:val="000E0FFB"/>
    <w:rsid w:val="000E73DE"/>
    <w:rsid w:val="000E7C93"/>
    <w:rsid w:val="001007DE"/>
    <w:rsid w:val="00106E52"/>
    <w:rsid w:val="00112988"/>
    <w:rsid w:val="00113621"/>
    <w:rsid w:val="00142631"/>
    <w:rsid w:val="0014568C"/>
    <w:rsid w:val="0014599C"/>
    <w:rsid w:val="00152EAB"/>
    <w:rsid w:val="00160FED"/>
    <w:rsid w:val="001708D1"/>
    <w:rsid w:val="00183B06"/>
    <w:rsid w:val="00187FEA"/>
    <w:rsid w:val="001A56DB"/>
    <w:rsid w:val="001B7EE8"/>
    <w:rsid w:val="001C0112"/>
    <w:rsid w:val="001C30C9"/>
    <w:rsid w:val="001F7BE2"/>
    <w:rsid w:val="00211063"/>
    <w:rsid w:val="00245D13"/>
    <w:rsid w:val="002578E3"/>
    <w:rsid w:val="00273943"/>
    <w:rsid w:val="00275610"/>
    <w:rsid w:val="00295088"/>
    <w:rsid w:val="002A0386"/>
    <w:rsid w:val="002C17D9"/>
    <w:rsid w:val="002C28E7"/>
    <w:rsid w:val="002C371A"/>
    <w:rsid w:val="002D5C04"/>
    <w:rsid w:val="002F71B7"/>
    <w:rsid w:val="003028BA"/>
    <w:rsid w:val="00323A8A"/>
    <w:rsid w:val="003318DC"/>
    <w:rsid w:val="00333D2F"/>
    <w:rsid w:val="003431CA"/>
    <w:rsid w:val="00346A5A"/>
    <w:rsid w:val="00350C68"/>
    <w:rsid w:val="0036131D"/>
    <w:rsid w:val="00361556"/>
    <w:rsid w:val="00362E71"/>
    <w:rsid w:val="00364436"/>
    <w:rsid w:val="0036778C"/>
    <w:rsid w:val="00374372"/>
    <w:rsid w:val="00377C0F"/>
    <w:rsid w:val="00385ADA"/>
    <w:rsid w:val="003A4528"/>
    <w:rsid w:val="003C44CB"/>
    <w:rsid w:val="003D017C"/>
    <w:rsid w:val="003D0B78"/>
    <w:rsid w:val="003D1249"/>
    <w:rsid w:val="003D6671"/>
    <w:rsid w:val="003E2114"/>
    <w:rsid w:val="003F021E"/>
    <w:rsid w:val="003F239E"/>
    <w:rsid w:val="004074B8"/>
    <w:rsid w:val="004249F0"/>
    <w:rsid w:val="00435291"/>
    <w:rsid w:val="00435460"/>
    <w:rsid w:val="004759A4"/>
    <w:rsid w:val="004779B6"/>
    <w:rsid w:val="00496030"/>
    <w:rsid w:val="004A49DF"/>
    <w:rsid w:val="004B0466"/>
    <w:rsid w:val="004B4B44"/>
    <w:rsid w:val="004C3986"/>
    <w:rsid w:val="004C4DEB"/>
    <w:rsid w:val="004E448D"/>
    <w:rsid w:val="004F635F"/>
    <w:rsid w:val="004F76B2"/>
    <w:rsid w:val="0052631C"/>
    <w:rsid w:val="005323E7"/>
    <w:rsid w:val="00566D08"/>
    <w:rsid w:val="0057280D"/>
    <w:rsid w:val="00572A9B"/>
    <w:rsid w:val="00572CF4"/>
    <w:rsid w:val="0059001A"/>
    <w:rsid w:val="005A3941"/>
    <w:rsid w:val="005A56CB"/>
    <w:rsid w:val="005A7A60"/>
    <w:rsid w:val="005B7693"/>
    <w:rsid w:val="005C4927"/>
    <w:rsid w:val="005C7000"/>
    <w:rsid w:val="005D2F1F"/>
    <w:rsid w:val="005F2286"/>
    <w:rsid w:val="00604131"/>
    <w:rsid w:val="0060633D"/>
    <w:rsid w:val="00610BC1"/>
    <w:rsid w:val="006153DE"/>
    <w:rsid w:val="00631313"/>
    <w:rsid w:val="00650B03"/>
    <w:rsid w:val="0066374D"/>
    <w:rsid w:val="0066414C"/>
    <w:rsid w:val="00681640"/>
    <w:rsid w:val="006928B8"/>
    <w:rsid w:val="006A4216"/>
    <w:rsid w:val="006B43A9"/>
    <w:rsid w:val="006B50DE"/>
    <w:rsid w:val="006C50B2"/>
    <w:rsid w:val="006C7551"/>
    <w:rsid w:val="006C7BAA"/>
    <w:rsid w:val="006D0232"/>
    <w:rsid w:val="00746DD3"/>
    <w:rsid w:val="007633D4"/>
    <w:rsid w:val="00763ACE"/>
    <w:rsid w:val="00770003"/>
    <w:rsid w:val="00774FFF"/>
    <w:rsid w:val="007771D2"/>
    <w:rsid w:val="00777E4C"/>
    <w:rsid w:val="00781E4D"/>
    <w:rsid w:val="007856DB"/>
    <w:rsid w:val="00787EC3"/>
    <w:rsid w:val="00791985"/>
    <w:rsid w:val="00791DDF"/>
    <w:rsid w:val="007934CD"/>
    <w:rsid w:val="007A1865"/>
    <w:rsid w:val="007B0144"/>
    <w:rsid w:val="007B73BF"/>
    <w:rsid w:val="007C4DCB"/>
    <w:rsid w:val="007C7F88"/>
    <w:rsid w:val="007D6065"/>
    <w:rsid w:val="007D6BC6"/>
    <w:rsid w:val="007E0F25"/>
    <w:rsid w:val="007E52F6"/>
    <w:rsid w:val="007F5CDB"/>
    <w:rsid w:val="008009EF"/>
    <w:rsid w:val="00806588"/>
    <w:rsid w:val="008246E9"/>
    <w:rsid w:val="008275BD"/>
    <w:rsid w:val="00833EBF"/>
    <w:rsid w:val="00837177"/>
    <w:rsid w:val="00843AAA"/>
    <w:rsid w:val="0084689D"/>
    <w:rsid w:val="0085078A"/>
    <w:rsid w:val="00877F90"/>
    <w:rsid w:val="0089389A"/>
    <w:rsid w:val="0089592C"/>
    <w:rsid w:val="008C6F17"/>
    <w:rsid w:val="00906D32"/>
    <w:rsid w:val="009113A3"/>
    <w:rsid w:val="009150FE"/>
    <w:rsid w:val="00916716"/>
    <w:rsid w:val="009A0EA8"/>
    <w:rsid w:val="009A52EE"/>
    <w:rsid w:val="009C40E5"/>
    <w:rsid w:val="009F32BE"/>
    <w:rsid w:val="00A13E38"/>
    <w:rsid w:val="00A30196"/>
    <w:rsid w:val="00A43A44"/>
    <w:rsid w:val="00A47425"/>
    <w:rsid w:val="00A60E0D"/>
    <w:rsid w:val="00A7023A"/>
    <w:rsid w:val="00A80ADB"/>
    <w:rsid w:val="00A94021"/>
    <w:rsid w:val="00AA2B7F"/>
    <w:rsid w:val="00AC4ED5"/>
    <w:rsid w:val="00AE3623"/>
    <w:rsid w:val="00AF5505"/>
    <w:rsid w:val="00AF5C46"/>
    <w:rsid w:val="00B01BE4"/>
    <w:rsid w:val="00B04E3E"/>
    <w:rsid w:val="00B13F6A"/>
    <w:rsid w:val="00B20397"/>
    <w:rsid w:val="00B27C72"/>
    <w:rsid w:val="00B5218F"/>
    <w:rsid w:val="00B53F6E"/>
    <w:rsid w:val="00B57FC3"/>
    <w:rsid w:val="00B6697A"/>
    <w:rsid w:val="00B9463F"/>
    <w:rsid w:val="00BA3F97"/>
    <w:rsid w:val="00BE2B1F"/>
    <w:rsid w:val="00C11E49"/>
    <w:rsid w:val="00C554E3"/>
    <w:rsid w:val="00C6374B"/>
    <w:rsid w:val="00C64EFD"/>
    <w:rsid w:val="00C82757"/>
    <w:rsid w:val="00C834A9"/>
    <w:rsid w:val="00C91028"/>
    <w:rsid w:val="00C932F7"/>
    <w:rsid w:val="00CA112E"/>
    <w:rsid w:val="00CD706B"/>
    <w:rsid w:val="00CE056E"/>
    <w:rsid w:val="00CE0BB7"/>
    <w:rsid w:val="00CF23CC"/>
    <w:rsid w:val="00CF3730"/>
    <w:rsid w:val="00CF5E96"/>
    <w:rsid w:val="00CF7CB8"/>
    <w:rsid w:val="00D15F08"/>
    <w:rsid w:val="00D21979"/>
    <w:rsid w:val="00D2448D"/>
    <w:rsid w:val="00D366D0"/>
    <w:rsid w:val="00D62F94"/>
    <w:rsid w:val="00D670C2"/>
    <w:rsid w:val="00D91F84"/>
    <w:rsid w:val="00D9688A"/>
    <w:rsid w:val="00DA5670"/>
    <w:rsid w:val="00DD72B2"/>
    <w:rsid w:val="00DD7326"/>
    <w:rsid w:val="00DE534A"/>
    <w:rsid w:val="00DE615E"/>
    <w:rsid w:val="00DE6F45"/>
    <w:rsid w:val="00E07740"/>
    <w:rsid w:val="00E10E43"/>
    <w:rsid w:val="00E2622B"/>
    <w:rsid w:val="00E26572"/>
    <w:rsid w:val="00E3475A"/>
    <w:rsid w:val="00E408BC"/>
    <w:rsid w:val="00E417DD"/>
    <w:rsid w:val="00E47025"/>
    <w:rsid w:val="00E67A2F"/>
    <w:rsid w:val="00E7442A"/>
    <w:rsid w:val="00EA46D1"/>
    <w:rsid w:val="00EA7865"/>
    <w:rsid w:val="00EB5960"/>
    <w:rsid w:val="00EC53F4"/>
    <w:rsid w:val="00ED013C"/>
    <w:rsid w:val="00ED7B38"/>
    <w:rsid w:val="00EF4809"/>
    <w:rsid w:val="00F239EE"/>
    <w:rsid w:val="00F479DF"/>
    <w:rsid w:val="00F517A9"/>
    <w:rsid w:val="00F71678"/>
    <w:rsid w:val="00F72301"/>
    <w:rsid w:val="00F745EF"/>
    <w:rsid w:val="00F8390E"/>
    <w:rsid w:val="00F96CF6"/>
    <w:rsid w:val="00FB0CFB"/>
    <w:rsid w:val="00FB69DC"/>
    <w:rsid w:val="00FB7025"/>
    <w:rsid w:val="00FB7635"/>
    <w:rsid w:val="00FC06DE"/>
    <w:rsid w:val="00FC5F32"/>
    <w:rsid w:val="00FC7A9F"/>
    <w:rsid w:val="00FD1DA2"/>
    <w:rsid w:val="00FD3827"/>
    <w:rsid w:val="00FE108F"/>
    <w:rsid w:val="00FE154D"/>
    <w:rsid w:val="00FE51F6"/>
    <w:rsid w:val="00FF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F93A66-21D3-405D-97DD-B578158F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028"/>
  </w:style>
  <w:style w:type="paragraph" w:styleId="Heading2">
    <w:name w:val="heading 2"/>
    <w:basedOn w:val="Normal"/>
    <w:link w:val="Heading2Char"/>
    <w:uiPriority w:val="9"/>
    <w:qFormat/>
    <w:rsid w:val="00FB0CFB"/>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8F"/>
    <w:rPr>
      <w:rFonts w:ascii="Tahoma" w:hAnsi="Tahoma" w:cs="Tahoma"/>
      <w:sz w:val="16"/>
      <w:szCs w:val="16"/>
    </w:rPr>
  </w:style>
  <w:style w:type="paragraph" w:styleId="ListParagraph">
    <w:name w:val="List Paragraph"/>
    <w:basedOn w:val="Normal"/>
    <w:uiPriority w:val="34"/>
    <w:qFormat/>
    <w:rsid w:val="00B6697A"/>
    <w:pPr>
      <w:ind w:left="720"/>
      <w:contextualSpacing/>
    </w:pPr>
  </w:style>
  <w:style w:type="character" w:styleId="Hyperlink">
    <w:name w:val="Hyperlink"/>
    <w:basedOn w:val="DefaultParagraphFont"/>
    <w:uiPriority w:val="99"/>
    <w:unhideWhenUsed/>
    <w:rsid w:val="00774FFF"/>
    <w:rPr>
      <w:color w:val="0000FF" w:themeColor="hyperlink"/>
      <w:u w:val="single"/>
    </w:rPr>
  </w:style>
  <w:style w:type="paragraph" w:styleId="Header">
    <w:name w:val="header"/>
    <w:basedOn w:val="Normal"/>
    <w:link w:val="HeaderChar"/>
    <w:uiPriority w:val="99"/>
    <w:unhideWhenUsed/>
    <w:rsid w:val="007A1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65"/>
  </w:style>
  <w:style w:type="paragraph" w:styleId="Footer">
    <w:name w:val="footer"/>
    <w:basedOn w:val="Normal"/>
    <w:link w:val="FooterChar"/>
    <w:uiPriority w:val="99"/>
    <w:unhideWhenUsed/>
    <w:rsid w:val="007A1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65"/>
  </w:style>
  <w:style w:type="paragraph" w:styleId="NormalWeb">
    <w:name w:val="Normal (Web)"/>
    <w:basedOn w:val="Normal"/>
    <w:uiPriority w:val="99"/>
    <w:semiHidden/>
    <w:unhideWhenUsed/>
    <w:rsid w:val="00106E5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3AAA"/>
    <w:rPr>
      <w:sz w:val="16"/>
      <w:szCs w:val="16"/>
    </w:rPr>
  </w:style>
  <w:style w:type="paragraph" w:styleId="CommentText">
    <w:name w:val="annotation text"/>
    <w:basedOn w:val="Normal"/>
    <w:link w:val="CommentTextChar"/>
    <w:uiPriority w:val="99"/>
    <w:semiHidden/>
    <w:unhideWhenUsed/>
    <w:rsid w:val="00843AAA"/>
    <w:pPr>
      <w:spacing w:line="240" w:lineRule="auto"/>
    </w:pPr>
    <w:rPr>
      <w:sz w:val="20"/>
      <w:szCs w:val="20"/>
    </w:rPr>
  </w:style>
  <w:style w:type="character" w:customStyle="1" w:styleId="CommentTextChar">
    <w:name w:val="Comment Text Char"/>
    <w:basedOn w:val="DefaultParagraphFont"/>
    <w:link w:val="CommentText"/>
    <w:uiPriority w:val="99"/>
    <w:semiHidden/>
    <w:rsid w:val="00843AAA"/>
    <w:rPr>
      <w:sz w:val="20"/>
      <w:szCs w:val="20"/>
    </w:rPr>
  </w:style>
  <w:style w:type="paragraph" w:styleId="CommentSubject">
    <w:name w:val="annotation subject"/>
    <w:basedOn w:val="CommentText"/>
    <w:next w:val="CommentText"/>
    <w:link w:val="CommentSubjectChar"/>
    <w:uiPriority w:val="99"/>
    <w:semiHidden/>
    <w:unhideWhenUsed/>
    <w:rsid w:val="00843AAA"/>
    <w:rPr>
      <w:b/>
      <w:bCs/>
    </w:rPr>
  </w:style>
  <w:style w:type="character" w:customStyle="1" w:styleId="CommentSubjectChar">
    <w:name w:val="Comment Subject Char"/>
    <w:basedOn w:val="CommentTextChar"/>
    <w:link w:val="CommentSubject"/>
    <w:uiPriority w:val="99"/>
    <w:semiHidden/>
    <w:rsid w:val="00843AAA"/>
    <w:rPr>
      <w:b/>
      <w:bCs/>
      <w:sz w:val="20"/>
      <w:szCs w:val="20"/>
    </w:rPr>
  </w:style>
  <w:style w:type="paragraph" w:customStyle="1" w:styleId="Default">
    <w:name w:val="Default"/>
    <w:rsid w:val="00D366D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27C72"/>
    <w:rPr>
      <w:color w:val="800080" w:themeColor="followedHyperlink"/>
      <w:u w:val="single"/>
    </w:rPr>
  </w:style>
  <w:style w:type="character" w:customStyle="1" w:styleId="Heading2Char">
    <w:name w:val="Heading 2 Char"/>
    <w:basedOn w:val="DefaultParagraphFont"/>
    <w:link w:val="Heading2"/>
    <w:uiPriority w:val="9"/>
    <w:rsid w:val="00FB0C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578">
      <w:bodyDiv w:val="1"/>
      <w:marLeft w:val="0"/>
      <w:marRight w:val="0"/>
      <w:marTop w:val="0"/>
      <w:marBottom w:val="0"/>
      <w:divBdr>
        <w:top w:val="none" w:sz="0" w:space="0" w:color="auto"/>
        <w:left w:val="none" w:sz="0" w:space="0" w:color="auto"/>
        <w:bottom w:val="none" w:sz="0" w:space="0" w:color="auto"/>
        <w:right w:val="none" w:sz="0" w:space="0" w:color="auto"/>
      </w:divBdr>
    </w:div>
    <w:div w:id="671644931">
      <w:bodyDiv w:val="1"/>
      <w:marLeft w:val="0"/>
      <w:marRight w:val="0"/>
      <w:marTop w:val="0"/>
      <w:marBottom w:val="0"/>
      <w:divBdr>
        <w:top w:val="none" w:sz="0" w:space="0" w:color="auto"/>
        <w:left w:val="none" w:sz="0" w:space="0" w:color="auto"/>
        <w:bottom w:val="none" w:sz="0" w:space="0" w:color="auto"/>
        <w:right w:val="none" w:sz="0" w:space="0" w:color="auto"/>
      </w:divBdr>
    </w:div>
    <w:div w:id="1185560581">
      <w:bodyDiv w:val="1"/>
      <w:marLeft w:val="0"/>
      <w:marRight w:val="0"/>
      <w:marTop w:val="30"/>
      <w:marBottom w:val="750"/>
      <w:divBdr>
        <w:top w:val="none" w:sz="0" w:space="0" w:color="auto"/>
        <w:left w:val="none" w:sz="0" w:space="0" w:color="auto"/>
        <w:bottom w:val="none" w:sz="0" w:space="0" w:color="auto"/>
        <w:right w:val="none" w:sz="0" w:space="0" w:color="auto"/>
      </w:divBdr>
      <w:divsChild>
        <w:div w:id="838161383">
          <w:marLeft w:val="0"/>
          <w:marRight w:val="0"/>
          <w:marTop w:val="0"/>
          <w:marBottom w:val="0"/>
          <w:divBdr>
            <w:top w:val="none" w:sz="0" w:space="0" w:color="auto"/>
            <w:left w:val="none" w:sz="0" w:space="0" w:color="auto"/>
            <w:bottom w:val="none" w:sz="0" w:space="0" w:color="auto"/>
            <w:right w:val="none" w:sz="0" w:space="0" w:color="auto"/>
          </w:divBdr>
        </w:div>
      </w:divsChild>
    </w:div>
    <w:div w:id="1279872304">
      <w:bodyDiv w:val="1"/>
      <w:marLeft w:val="0"/>
      <w:marRight w:val="0"/>
      <w:marTop w:val="0"/>
      <w:marBottom w:val="0"/>
      <w:divBdr>
        <w:top w:val="none" w:sz="0" w:space="0" w:color="auto"/>
        <w:left w:val="none" w:sz="0" w:space="0" w:color="auto"/>
        <w:bottom w:val="none" w:sz="0" w:space="0" w:color="auto"/>
        <w:right w:val="none" w:sz="0" w:space="0" w:color="auto"/>
      </w:divBdr>
    </w:div>
    <w:div w:id="1393458851">
      <w:bodyDiv w:val="1"/>
      <w:marLeft w:val="750"/>
      <w:marRight w:val="750"/>
      <w:marTop w:val="0"/>
      <w:marBottom w:val="0"/>
      <w:divBdr>
        <w:top w:val="none" w:sz="0" w:space="0" w:color="auto"/>
        <w:left w:val="none" w:sz="0" w:space="0" w:color="auto"/>
        <w:bottom w:val="none" w:sz="0" w:space="0" w:color="auto"/>
        <w:right w:val="none" w:sz="0" w:space="0" w:color="auto"/>
      </w:divBdr>
      <w:divsChild>
        <w:div w:id="2004509962">
          <w:marLeft w:val="0"/>
          <w:marRight w:val="0"/>
          <w:marTop w:val="75"/>
          <w:marBottom w:val="75"/>
          <w:divBdr>
            <w:top w:val="none" w:sz="0" w:space="0" w:color="auto"/>
            <w:left w:val="none" w:sz="0" w:space="0" w:color="auto"/>
            <w:bottom w:val="none" w:sz="0" w:space="0" w:color="auto"/>
            <w:right w:val="none" w:sz="0" w:space="0" w:color="auto"/>
          </w:divBdr>
          <w:divsChild>
            <w:div w:id="2068992816">
              <w:marLeft w:val="0"/>
              <w:marRight w:val="0"/>
              <w:marTop w:val="75"/>
              <w:marBottom w:val="75"/>
              <w:divBdr>
                <w:top w:val="none" w:sz="0" w:space="0" w:color="auto"/>
                <w:left w:val="none" w:sz="0" w:space="0" w:color="auto"/>
                <w:bottom w:val="none" w:sz="0" w:space="0" w:color="auto"/>
                <w:right w:val="none" w:sz="0" w:space="0" w:color="auto"/>
              </w:divBdr>
              <w:divsChild>
                <w:div w:id="994260252">
                  <w:marLeft w:val="0"/>
                  <w:marRight w:val="0"/>
                  <w:marTop w:val="75"/>
                  <w:marBottom w:val="75"/>
                  <w:divBdr>
                    <w:top w:val="none" w:sz="0" w:space="0" w:color="auto"/>
                    <w:left w:val="none" w:sz="0" w:space="0" w:color="auto"/>
                    <w:bottom w:val="none" w:sz="0" w:space="0" w:color="auto"/>
                    <w:right w:val="none" w:sz="0" w:space="0" w:color="auto"/>
                  </w:divBdr>
                  <w:divsChild>
                    <w:div w:id="447628247">
                      <w:marLeft w:val="0"/>
                      <w:marRight w:val="0"/>
                      <w:marTop w:val="0"/>
                      <w:marBottom w:val="0"/>
                      <w:divBdr>
                        <w:top w:val="none" w:sz="0" w:space="0" w:color="auto"/>
                        <w:left w:val="none" w:sz="0" w:space="0" w:color="auto"/>
                        <w:bottom w:val="none" w:sz="0" w:space="0" w:color="auto"/>
                        <w:right w:val="none" w:sz="0" w:space="0" w:color="auto"/>
                      </w:divBdr>
                      <w:divsChild>
                        <w:div w:id="443311352">
                          <w:marLeft w:val="0"/>
                          <w:marRight w:val="0"/>
                          <w:marTop w:val="0"/>
                          <w:marBottom w:val="0"/>
                          <w:divBdr>
                            <w:top w:val="none" w:sz="0" w:space="0" w:color="auto"/>
                            <w:left w:val="none" w:sz="0" w:space="0" w:color="auto"/>
                            <w:bottom w:val="none" w:sz="0" w:space="0" w:color="auto"/>
                            <w:right w:val="none" w:sz="0" w:space="0" w:color="auto"/>
                          </w:divBdr>
                          <w:divsChild>
                            <w:div w:id="7081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76978">
      <w:bodyDiv w:val="1"/>
      <w:marLeft w:val="0"/>
      <w:marRight w:val="0"/>
      <w:marTop w:val="30"/>
      <w:marBottom w:val="750"/>
      <w:divBdr>
        <w:top w:val="none" w:sz="0" w:space="0" w:color="auto"/>
        <w:left w:val="none" w:sz="0" w:space="0" w:color="auto"/>
        <w:bottom w:val="none" w:sz="0" w:space="0" w:color="auto"/>
        <w:right w:val="none" w:sz="0" w:space="0" w:color="auto"/>
      </w:divBdr>
      <w:divsChild>
        <w:div w:id="1315916953">
          <w:marLeft w:val="0"/>
          <w:marRight w:val="0"/>
          <w:marTop w:val="0"/>
          <w:marBottom w:val="0"/>
          <w:divBdr>
            <w:top w:val="none" w:sz="0" w:space="0" w:color="auto"/>
            <w:left w:val="none" w:sz="0" w:space="0" w:color="auto"/>
            <w:bottom w:val="none" w:sz="0" w:space="0" w:color="auto"/>
            <w:right w:val="none" w:sz="0" w:space="0" w:color="auto"/>
          </w:divBdr>
        </w:div>
      </w:divsChild>
    </w:div>
    <w:div w:id="1722288446">
      <w:bodyDiv w:val="1"/>
      <w:marLeft w:val="0"/>
      <w:marRight w:val="0"/>
      <w:marTop w:val="0"/>
      <w:marBottom w:val="0"/>
      <w:divBdr>
        <w:top w:val="none" w:sz="0" w:space="0" w:color="auto"/>
        <w:left w:val="none" w:sz="0" w:space="0" w:color="auto"/>
        <w:bottom w:val="none" w:sz="0" w:space="0" w:color="auto"/>
        <w:right w:val="none" w:sz="0" w:space="0" w:color="auto"/>
      </w:divBdr>
    </w:div>
    <w:div w:id="1866747168">
      <w:bodyDiv w:val="1"/>
      <w:marLeft w:val="0"/>
      <w:marRight w:val="0"/>
      <w:marTop w:val="0"/>
      <w:marBottom w:val="0"/>
      <w:divBdr>
        <w:top w:val="none" w:sz="0" w:space="0" w:color="auto"/>
        <w:left w:val="none" w:sz="0" w:space="0" w:color="auto"/>
        <w:bottom w:val="none" w:sz="0" w:space="0" w:color="auto"/>
        <w:right w:val="none" w:sz="0" w:space="0" w:color="auto"/>
      </w:divBdr>
    </w:div>
    <w:div w:id="1961298280">
      <w:bodyDiv w:val="1"/>
      <w:marLeft w:val="0"/>
      <w:marRight w:val="0"/>
      <w:marTop w:val="0"/>
      <w:marBottom w:val="0"/>
      <w:divBdr>
        <w:top w:val="none" w:sz="0" w:space="0" w:color="auto"/>
        <w:left w:val="none" w:sz="0" w:space="0" w:color="auto"/>
        <w:bottom w:val="none" w:sz="0" w:space="0" w:color="auto"/>
        <w:right w:val="none" w:sz="0" w:space="0" w:color="auto"/>
      </w:divBdr>
    </w:div>
    <w:div w:id="20911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015F-3DD4-4D07-B8E7-643DF715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Trudy Logan</dc:creator>
  <cp:lastModifiedBy>Powell, Valerie</cp:lastModifiedBy>
  <cp:revision>2</cp:revision>
  <cp:lastPrinted>2018-07-02T13:37:00Z</cp:lastPrinted>
  <dcterms:created xsi:type="dcterms:W3CDTF">2018-07-02T13:56:00Z</dcterms:created>
  <dcterms:modified xsi:type="dcterms:W3CDTF">2018-07-02T13:56:00Z</dcterms:modified>
</cp:coreProperties>
</file>