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szCs w:val="20"/>
        </w:rPr>
        <w:id w:val="452529616"/>
        <w:docPartObj>
          <w:docPartGallery w:val="Cover Pages"/>
          <w:docPartUnique/>
        </w:docPartObj>
      </w:sdtPr>
      <w:sdtEndPr>
        <w:rPr>
          <w:rStyle w:val="TitleChar"/>
          <w:rFonts w:ascii="Arial Black" w:eastAsiaTheme="majorEastAsia" w:hAnsi="Arial Black" w:cstheme="majorBidi"/>
          <w:color w:val="041E41" w:themeColor="text2"/>
          <w:spacing w:val="-10"/>
          <w:kern w:val="28"/>
          <w:sz w:val="56"/>
          <w:szCs w:val="56"/>
        </w:rPr>
      </w:sdtEndPr>
      <w:sdtContent>
        <w:p w14:paraId="5385026D" w14:textId="739A2A97" w:rsidR="00E801D6" w:rsidRPr="0009398B" w:rsidRDefault="0060701A" w:rsidP="000F1767">
          <w:r w:rsidRPr="0009398B">
            <w:rPr>
              <w:noProof/>
              <w:lang w:bidi="es-US"/>
            </w:rPr>
            <mc:AlternateContent>
              <mc:Choice Requires="wps">
                <w:drawing>
                  <wp:anchor distT="0" distB="0" distL="114300" distR="114300" simplePos="0" relativeHeight="251658240" behindDoc="0" locked="0" layoutInCell="1" allowOverlap="1" wp14:anchorId="5174C41A" wp14:editId="783132BC">
                    <wp:simplePos x="0" y="0"/>
                    <wp:positionH relativeFrom="margin">
                      <wp:align>right</wp:align>
                    </wp:positionH>
                    <wp:positionV relativeFrom="page">
                      <wp:posOffset>4895850</wp:posOffset>
                    </wp:positionV>
                    <wp:extent cx="7315200" cy="2036445"/>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036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37D3" w14:textId="2EFB90DF" w:rsidR="00076E96" w:rsidRPr="0065253D" w:rsidRDefault="00000000" w:rsidP="000333CA">
                                <w:pPr>
                                  <w:pStyle w:val="Title"/>
                                  <w:ind w:left="-270"/>
                                  <w:jc w:val="center"/>
                                  <w:rPr>
                                    <w:lang w:val="es-ES"/>
                                  </w:rPr>
                                </w:pPr>
                                <w:sdt>
                                  <w:sdtPr>
                                    <w:rPr>
                                      <w:lang w:val="es-ES" w:bidi="es-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5F32FA" w:rsidRPr="0065253D">
                                      <w:rPr>
                                        <w:lang w:val="es-ES" w:bidi="es-US"/>
                                      </w:rPr>
                                      <w:t xml:space="preserve">Implementación del </w:t>
                                    </w:r>
                                    <w:r w:rsidR="005F32FA" w:rsidRPr="0065253D">
                                      <w:rPr>
                                        <w:lang w:val="es-ES" w:bidi="es-US"/>
                                      </w:rPr>
                                      <w:br/>
                                      <w:t xml:space="preserve">Plan Olmstead  </w:t>
                                    </w:r>
                                    <w:r w:rsidR="005F32FA" w:rsidRPr="0065253D">
                                      <w:rPr>
                                        <w:lang w:val="es-ES" w:bidi="es-US"/>
                                      </w:rPr>
                                      <w:br/>
                                      <w:t>de Carolina del Norte</w:t>
                                    </w:r>
                                  </w:sdtContent>
                                </w:sdt>
                              </w:p>
                              <w:sdt>
                                <w:sdtPr>
                                  <w:rPr>
                                    <w:rFonts w:asciiTheme="minorHAnsi" w:hAnsiTheme="minorHAnsi" w:cstheme="minorHAnsi"/>
                                    <w:color w:val="007EAA"/>
                                    <w:szCs w:val="24"/>
                                    <w:lang w:bidi="es-US"/>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07E7C32C" w:rsidR="00076E96" w:rsidRDefault="006C2AF3" w:rsidP="000333CA">
                                    <w:pPr>
                                      <w:pStyle w:val="Cover-Subtitle"/>
                                      <w:ind w:left="-270"/>
                                      <w:jc w:val="center"/>
                                      <w:rPr>
                                        <w:smallCaps/>
                                      </w:rPr>
                                    </w:pPr>
                                    <w:r>
                                      <w:rPr>
                                        <w:rFonts w:asciiTheme="minorHAnsi" w:hAnsiTheme="minorHAnsi" w:cstheme="minorHAnsi"/>
                                        <w:color w:val="007EAA"/>
                                        <w:szCs w:val="24"/>
                                        <w:lang w:bidi="es-US"/>
                                      </w:rPr>
                                      <w:t>Informe resumido: del 1 de octubre al 31 de diciembre de 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174C41A" id="_x0000_t202" coordsize="21600,21600" o:spt="202" path="m,l,21600r21600,l21600,xe">
                    <v:stroke joinstyle="miter"/>
                    <v:path gradientshapeok="t" o:connecttype="rect"/>
                  </v:shapetype>
                  <v:shape id="Text Box 154" o:spid="_x0000_s1026" type="#_x0000_t202" style="position:absolute;margin-left:524.8pt;margin-top:385.5pt;width:8in;height:160.35pt;z-index:251658240;visibility:visible;mso-wrap-style:square;mso-width-percent:941;mso-height-percent:0;mso-wrap-distance-left:9pt;mso-wrap-distance-top:0;mso-wrap-distance-right:9pt;mso-wrap-distance-bottom:0;mso-position-horizontal:right;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" filled="f" stroked="f" strokeweight=".5pt">
                    <v:textbox inset="126pt,0,54pt,0">
                      <w:txbxContent>
                        <w:p w14:paraId="229137D3" w14:textId="2EFB90DF" w:rsidR="00076E96" w:rsidRPr="0065253D" w:rsidRDefault="00000000" w:rsidP="000333CA">
                          <w:pPr>
                            <w:pStyle w:val="Title"/>
                            <w:ind w:left="-270"/>
                            <w:jc w:val="center"/>
                            <w:rPr>
                              <w:lang w:val="es-ES"/>
                            </w:rPr>
                          </w:pPr>
                          <w:sdt>
                            <w:sdtPr>
                              <w:rPr>
                                <w:lang w:val="es-ES" w:bidi="es-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5F32FA" w:rsidRPr="0065253D">
                                <w:rPr>
                                  <w:lang w:val="es-ES" w:bidi="es-US"/>
                                </w:rPr>
                                <w:t xml:space="preserve">Implementación del </w:t>
                              </w:r>
                              <w:r w:rsidR="005F32FA" w:rsidRPr="0065253D">
                                <w:rPr>
                                  <w:lang w:val="es-ES" w:bidi="es-US"/>
                                </w:rPr>
                                <w:br/>
                                <w:t xml:space="preserve">Plan Olmstead  </w:t>
                              </w:r>
                              <w:r w:rsidR="005F32FA" w:rsidRPr="0065253D">
                                <w:rPr>
                                  <w:lang w:val="es-ES" w:bidi="es-US"/>
                                </w:rPr>
                                <w:br/>
                                <w:t>de Carolina del Norte</w:t>
                              </w:r>
                            </w:sdtContent>
                          </w:sdt>
                        </w:p>
                        <w:sdt>
                          <w:sdtPr>
                            <w:rPr>
                              <w:rFonts w:asciiTheme="minorHAnsi" w:hAnsiTheme="minorHAnsi" w:cstheme="minorHAnsi"/>
                              <w:color w:val="007EAA"/>
                              <w:szCs w:val="24"/>
                              <w:lang w:bidi="es-US"/>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07E7C32C" w:rsidR="00076E96" w:rsidRDefault="006C2AF3" w:rsidP="000333CA">
                              <w:pPr>
                                <w:pStyle w:val="Cover-Subtitle"/>
                                <w:ind w:left="-270"/>
                                <w:jc w:val="center"/>
                                <w:rPr>
                                  <w:smallCaps/>
                                </w:rPr>
                              </w:pPr>
                              <w:r>
                                <w:rPr>
                                  <w:rFonts w:asciiTheme="minorHAnsi" w:hAnsiTheme="minorHAnsi" w:cstheme="minorHAnsi"/>
                                  <w:color w:val="007EAA"/>
                                  <w:szCs w:val="24"/>
                                  <w:lang w:bidi="es-US"/>
                                </w:rPr>
                                <w:t>Informe resumido: del 1 de octubre al 31 de diciembre de 2024</w:t>
                              </w:r>
                            </w:p>
                          </w:sdtContent>
                        </w:sdt>
                      </w:txbxContent>
                    </v:textbox>
                    <w10:wrap type="square" anchorx="margin" anchory="page"/>
                  </v:shape>
                </w:pict>
              </mc:Fallback>
            </mc:AlternateContent>
          </w:r>
        </w:p>
        <w:p w14:paraId="1C283AAC" w14:textId="229246E3" w:rsidR="000D2465" w:rsidRPr="0065253D" w:rsidRDefault="00000000" w:rsidP="000D2465">
          <w:pPr>
            <w:pStyle w:val="Author"/>
          </w:pPr>
          <w:sdt>
            <w:sdtPr>
              <w:rPr>
                <w:rStyle w:val="BodyTextChar"/>
                <w:sz w:val="24"/>
                <w:szCs w:val="24"/>
              </w:rPr>
              <w:alias w:val="Author"/>
              <w:tag w:val=""/>
              <w:id w:val="2088105991"/>
              <w:dataBinding w:prefixMappings="xmlns:ns0='http://purl.org/dc/elements/1.1/' xmlns:ns1='http://schemas.openxmlformats.org/package/2006/metadata/core-properties' " w:xpath="/ns1:coreProperties[1]/ns0:creator[1]" w:storeItemID="{6C3C8BC8-F283-45AE-878A-BAB7291924A1}"/>
              <w:text/>
            </w:sdtPr>
            <w:sdtContent>
              <w:r w:rsidR="00374996" w:rsidRPr="0065253D">
                <w:rPr>
                  <w:rStyle w:val="BodyTextChar"/>
                  <w:sz w:val="24"/>
                  <w:szCs w:val="24"/>
                  <w:lang w:bidi="es-US"/>
                </w:rPr>
                <w:t xml:space="preserve">Rebecca Boss, M.A., and Megan Lee, L.P.C., </w:t>
              </w:r>
              <w:r w:rsidR="00980892" w:rsidRPr="0065253D">
                <w:rPr>
                  <w:rStyle w:val="BodyTextChar"/>
                  <w:sz w:val="24"/>
                  <w:szCs w:val="24"/>
                  <w:lang w:bidi="es-US"/>
                </w:rPr>
                <w:t>c</w:t>
              </w:r>
              <w:r w:rsidR="00374996" w:rsidRPr="0065253D">
                <w:rPr>
                  <w:rStyle w:val="BodyTextChar"/>
                  <w:sz w:val="24"/>
                  <w:szCs w:val="24"/>
                  <w:lang w:bidi="es-US"/>
                </w:rPr>
                <w:t>onsultoras de Ser</w:t>
              </w:r>
              <w:r w:rsidR="00980892" w:rsidRPr="0065253D">
                <w:rPr>
                  <w:rStyle w:val="BodyTextChar"/>
                  <w:sz w:val="24"/>
                  <w:szCs w:val="24"/>
                  <w:lang w:bidi="es-US"/>
                </w:rPr>
                <w:t>vicios Humanos</w:t>
              </w:r>
            </w:sdtContent>
          </w:sdt>
        </w:p>
      </w:sdtContent>
    </w:sdt>
    <w:p w14:paraId="0148A870" w14:textId="37A7938A" w:rsidR="000D1C4E" w:rsidRPr="0065253D" w:rsidRDefault="00AB1479" w:rsidP="00AB1479">
      <w:pPr>
        <w:pStyle w:val="Spacer"/>
        <w:spacing w:before="1280"/>
        <w:ind w:left="2160"/>
      </w:pPr>
      <w:r w:rsidRPr="0065253D">
        <w:rPr>
          <w:lang w:bidi="es-US"/>
        </w:rPr>
        <w:t>Technical Assistance Collaborative</w:t>
      </w:r>
      <w:r w:rsidRPr="0065253D">
        <w:rPr>
          <w:lang w:bidi="es-US"/>
        </w:rPr>
        <w:tab/>
      </w:r>
      <w:r w:rsidRPr="0065253D">
        <w:rPr>
          <w:lang w:bidi="es-US"/>
        </w:rPr>
        <w:tab/>
      </w:r>
      <w:r w:rsidRPr="0065253D">
        <w:rPr>
          <w:lang w:bidi="es-US"/>
        </w:rPr>
        <w:tab/>
      </w:r>
      <w:r w:rsidRPr="0065253D">
        <w:rPr>
          <w:lang w:bidi="es-US"/>
        </w:rPr>
        <w:tab/>
      </w:r>
      <w:r w:rsidRPr="0065253D">
        <w:rPr>
          <w:b/>
          <w:lang w:bidi="es-US"/>
        </w:rPr>
        <w:t>1 de febrero de 2025</w:t>
      </w:r>
      <w:r w:rsidRPr="0065253D">
        <w:rPr>
          <w:lang w:bidi="es-US"/>
        </w:rPr>
        <w:br/>
        <w:t>15 Court Square, 11</w:t>
      </w:r>
      <w:r w:rsidRPr="0065253D">
        <w:rPr>
          <w:vertAlign w:val="superscript"/>
          <w:lang w:bidi="es-US"/>
        </w:rPr>
        <w:t>th</w:t>
      </w:r>
      <w:r w:rsidRPr="0065253D">
        <w:rPr>
          <w:lang w:bidi="es-US"/>
        </w:rPr>
        <w:t xml:space="preserve"> Floor</w:t>
      </w:r>
      <w:r w:rsidRPr="0065253D">
        <w:rPr>
          <w:lang w:bidi="es-US"/>
        </w:rPr>
        <w:br/>
        <w:t xml:space="preserve">Boston, MA 02108 </w:t>
      </w:r>
    </w:p>
    <w:p w14:paraId="40EE7C25" w14:textId="664C96BD" w:rsidR="007E0C62" w:rsidRPr="0065253D" w:rsidRDefault="007E0C62" w:rsidP="000D2465">
      <w:pPr>
        <w:pStyle w:val="Spacer"/>
        <w:tabs>
          <w:tab w:val="right" w:pos="11160"/>
        </w:tabs>
        <w:spacing w:before="1280"/>
        <w:ind w:left="2160"/>
        <w:rPr>
          <w:b/>
          <w:bCs/>
        </w:rPr>
        <w:sectPr w:rsidR="007E0C62" w:rsidRPr="0065253D" w:rsidSect="000D2465">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360" w:bottom="360" w:left="360" w:header="360" w:footer="144" w:gutter="0"/>
          <w:cols w:space="720"/>
          <w:titlePg/>
          <w:docGrid w:linePitch="360"/>
        </w:sectPr>
      </w:pPr>
    </w:p>
    <w:sdt>
      <w:sdtPr>
        <w:rPr>
          <w:rFonts w:asciiTheme="minorHAnsi" w:eastAsiaTheme="minorHAnsi" w:hAnsiTheme="minorHAnsi" w:cstheme="minorBidi"/>
          <w:b w:val="0"/>
          <w:bCs w:val="0"/>
          <w:color w:val="auto"/>
          <w:spacing w:val="0"/>
          <w:sz w:val="22"/>
          <w:szCs w:val="24"/>
        </w:rPr>
        <w:id w:val="-633178380"/>
        <w:docPartObj>
          <w:docPartGallery w:val="Table of Contents"/>
          <w:docPartUnique/>
        </w:docPartObj>
      </w:sdtPr>
      <w:sdtEndPr>
        <w:rPr>
          <w:rFonts w:cstheme="minorHAnsi"/>
          <w:noProof/>
        </w:rPr>
      </w:sdtEndPr>
      <w:sdtContent>
        <w:p w14:paraId="32555E6A" w14:textId="77777777" w:rsidR="000333CA" w:rsidRPr="0009398B" w:rsidRDefault="00E50446" w:rsidP="000F1767">
          <w:pPr>
            <w:pStyle w:val="TOCHeading"/>
            <w:rPr>
              <w:noProof/>
            </w:rPr>
          </w:pPr>
          <w:r w:rsidRPr="0009398B">
            <w:rPr>
              <w:lang w:bidi="es-US"/>
            </w:rPr>
            <w:t>Índice</w:t>
          </w:r>
          <w:r w:rsidR="006706C7" w:rsidRPr="0009398B">
            <w:rPr>
              <w:sz w:val="28"/>
              <w:lang w:bidi="es-US"/>
            </w:rPr>
            <w:fldChar w:fldCharType="begin"/>
          </w:r>
          <w:r w:rsidR="006706C7" w:rsidRPr="0009398B">
            <w:rPr>
              <w:lang w:bidi="es-US"/>
            </w:rPr>
            <w:instrText xml:space="preserve"> TOC \o "1-3" \h \z \u </w:instrText>
          </w:r>
          <w:r w:rsidR="006706C7" w:rsidRPr="0009398B">
            <w:rPr>
              <w:sz w:val="28"/>
              <w:lang w:bidi="es-US"/>
            </w:rPr>
            <w:fldChar w:fldCharType="separate"/>
          </w:r>
        </w:p>
        <w:p w14:paraId="1013E0B4" w14:textId="35AB1A57" w:rsidR="000333CA" w:rsidRPr="0065253D" w:rsidRDefault="000333CA">
          <w:pPr>
            <w:pStyle w:val="TOC1"/>
            <w:tabs>
              <w:tab w:val="right" w:leader="dot" w:pos="9350"/>
            </w:tabs>
            <w:rPr>
              <w:rFonts w:eastAsiaTheme="minorEastAsia" w:cstheme="minorBidi"/>
              <w:b w:val="0"/>
              <w:bCs w:val="0"/>
              <w:noProof/>
              <w:color w:val="auto"/>
              <w:kern w:val="2"/>
              <w:sz w:val="24"/>
              <w:szCs w:val="21"/>
              <w:lang w:bidi="ne-NP"/>
              <w14:ligatures w14:val="standardContextual"/>
            </w:rPr>
          </w:pPr>
          <w:hyperlink w:anchor="_Toc219206190" w:history="1">
            <w:r w:rsidRPr="0009398B">
              <w:rPr>
                <w:rStyle w:val="Hyperlink"/>
                <w:noProof/>
                <w:lang w:bidi="es-US"/>
              </w:rPr>
              <w:t>Trasfondo e introducción</w:t>
            </w:r>
            <w:r w:rsidRPr="0009398B">
              <w:rPr>
                <w:noProof/>
                <w:webHidden/>
              </w:rPr>
              <w:tab/>
            </w:r>
            <w:r w:rsidRPr="0009398B">
              <w:rPr>
                <w:noProof/>
                <w:webHidden/>
              </w:rPr>
              <w:fldChar w:fldCharType="begin"/>
            </w:r>
            <w:r w:rsidRPr="0009398B">
              <w:rPr>
                <w:noProof/>
                <w:webHidden/>
              </w:rPr>
              <w:instrText xml:space="preserve"> PAGEREF _Toc219206190 \h </w:instrText>
            </w:r>
            <w:r w:rsidRPr="0009398B">
              <w:rPr>
                <w:noProof/>
                <w:webHidden/>
              </w:rPr>
            </w:r>
            <w:r w:rsidRPr="0009398B">
              <w:rPr>
                <w:noProof/>
                <w:webHidden/>
              </w:rPr>
              <w:fldChar w:fldCharType="separate"/>
            </w:r>
            <w:r w:rsidRPr="0009398B">
              <w:rPr>
                <w:noProof/>
                <w:webHidden/>
              </w:rPr>
              <w:t>3</w:t>
            </w:r>
            <w:r w:rsidRPr="0009398B">
              <w:rPr>
                <w:noProof/>
                <w:webHidden/>
              </w:rPr>
              <w:fldChar w:fldCharType="end"/>
            </w:r>
          </w:hyperlink>
        </w:p>
        <w:p w14:paraId="65A004D9" w14:textId="24DDDDD1" w:rsidR="000333CA" w:rsidRPr="0065253D" w:rsidRDefault="000333CA">
          <w:pPr>
            <w:pStyle w:val="TOC1"/>
            <w:tabs>
              <w:tab w:val="right" w:leader="dot" w:pos="9350"/>
            </w:tabs>
            <w:rPr>
              <w:rFonts w:eastAsiaTheme="minorEastAsia" w:cstheme="minorBidi"/>
              <w:b w:val="0"/>
              <w:bCs w:val="0"/>
              <w:noProof/>
              <w:color w:val="auto"/>
              <w:kern w:val="2"/>
              <w:sz w:val="24"/>
              <w:szCs w:val="21"/>
              <w:lang w:bidi="ne-NP"/>
              <w14:ligatures w14:val="standardContextual"/>
            </w:rPr>
          </w:pPr>
          <w:hyperlink w:anchor="_Toc219206191" w:history="1">
            <w:r w:rsidRPr="0009398B">
              <w:rPr>
                <w:rStyle w:val="Hyperlink"/>
                <w:noProof/>
                <w:lang w:bidi="es-US"/>
              </w:rPr>
              <w:t>Estado de las estrategias</w:t>
            </w:r>
            <w:r w:rsidRPr="0009398B">
              <w:rPr>
                <w:noProof/>
                <w:webHidden/>
              </w:rPr>
              <w:tab/>
            </w:r>
            <w:r w:rsidRPr="0009398B">
              <w:rPr>
                <w:noProof/>
                <w:webHidden/>
              </w:rPr>
              <w:fldChar w:fldCharType="begin"/>
            </w:r>
            <w:r w:rsidRPr="0009398B">
              <w:rPr>
                <w:noProof/>
                <w:webHidden/>
              </w:rPr>
              <w:instrText xml:space="preserve"> PAGEREF _Toc219206191 \h </w:instrText>
            </w:r>
            <w:r w:rsidRPr="0009398B">
              <w:rPr>
                <w:noProof/>
                <w:webHidden/>
              </w:rPr>
            </w:r>
            <w:r w:rsidRPr="0009398B">
              <w:rPr>
                <w:noProof/>
                <w:webHidden/>
              </w:rPr>
              <w:fldChar w:fldCharType="separate"/>
            </w:r>
            <w:r w:rsidRPr="0009398B">
              <w:rPr>
                <w:noProof/>
                <w:webHidden/>
              </w:rPr>
              <w:t>4</w:t>
            </w:r>
            <w:r w:rsidRPr="0009398B">
              <w:rPr>
                <w:noProof/>
                <w:webHidden/>
              </w:rPr>
              <w:fldChar w:fldCharType="end"/>
            </w:r>
          </w:hyperlink>
        </w:p>
        <w:p w14:paraId="46E6E028" w14:textId="24676326" w:rsidR="000333CA" w:rsidRPr="0065253D" w:rsidRDefault="000333CA">
          <w:pPr>
            <w:pStyle w:val="TOC2"/>
            <w:rPr>
              <w:rFonts w:eastAsiaTheme="minorEastAsia" w:cstheme="minorBidi"/>
              <w:bCs w:val="0"/>
              <w:noProof/>
              <w:kern w:val="2"/>
              <w:sz w:val="24"/>
              <w:szCs w:val="21"/>
              <w:lang w:bidi="ne-NP"/>
              <w14:ligatures w14:val="standardContextual"/>
            </w:rPr>
          </w:pPr>
          <w:hyperlink w:anchor="_Toc219206192" w:history="1">
            <w:r w:rsidRPr="0009398B">
              <w:rPr>
                <w:rStyle w:val="Hyperlink"/>
                <w:noProof/>
                <w:lang w:bidi="es-US"/>
              </w:rPr>
              <w:t>Progresos más destacados</w:t>
            </w:r>
            <w:r w:rsidRPr="0009398B">
              <w:rPr>
                <w:noProof/>
                <w:webHidden/>
              </w:rPr>
              <w:tab/>
            </w:r>
            <w:r w:rsidRPr="0009398B">
              <w:rPr>
                <w:noProof/>
                <w:webHidden/>
              </w:rPr>
              <w:fldChar w:fldCharType="begin"/>
            </w:r>
            <w:r w:rsidRPr="0009398B">
              <w:rPr>
                <w:noProof/>
                <w:webHidden/>
              </w:rPr>
              <w:instrText xml:space="preserve"> PAGEREF _Toc219206192 \h </w:instrText>
            </w:r>
            <w:r w:rsidRPr="0009398B">
              <w:rPr>
                <w:noProof/>
                <w:webHidden/>
              </w:rPr>
            </w:r>
            <w:r w:rsidRPr="0009398B">
              <w:rPr>
                <w:noProof/>
                <w:webHidden/>
              </w:rPr>
              <w:fldChar w:fldCharType="separate"/>
            </w:r>
            <w:r w:rsidRPr="0009398B">
              <w:rPr>
                <w:noProof/>
                <w:webHidden/>
              </w:rPr>
              <w:t>4</w:t>
            </w:r>
            <w:r w:rsidRPr="0009398B">
              <w:rPr>
                <w:noProof/>
                <w:webHidden/>
              </w:rPr>
              <w:fldChar w:fldCharType="end"/>
            </w:r>
          </w:hyperlink>
        </w:p>
        <w:p w14:paraId="22324AE1" w14:textId="77604A44" w:rsidR="000333CA" w:rsidRPr="0065253D" w:rsidRDefault="000333CA">
          <w:pPr>
            <w:pStyle w:val="TOC3"/>
            <w:tabs>
              <w:tab w:val="right" w:leader="dot" w:pos="9350"/>
            </w:tabs>
            <w:rPr>
              <w:rFonts w:eastAsiaTheme="minorEastAsia" w:cstheme="minorBidi"/>
              <w:noProof/>
              <w:kern w:val="2"/>
              <w:sz w:val="24"/>
              <w:szCs w:val="21"/>
              <w:lang w:bidi="ne-NP"/>
              <w14:ligatures w14:val="standardContextual"/>
            </w:rPr>
          </w:pPr>
          <w:hyperlink w:anchor="_Toc219206193" w:history="1">
            <w:r w:rsidRPr="0009398B">
              <w:rPr>
                <w:rStyle w:val="Hyperlink"/>
                <w:noProof/>
                <w:lang w:bidi="es-US"/>
              </w:rPr>
              <w:t>Ejemplos de estrategias y acciones completadas o en proceso entre el 1 de octubre y el 31 de diciembre de 2024</w:t>
            </w:r>
            <w:r w:rsidRPr="0009398B">
              <w:rPr>
                <w:noProof/>
                <w:webHidden/>
              </w:rPr>
              <w:tab/>
            </w:r>
            <w:r w:rsidRPr="0009398B">
              <w:rPr>
                <w:noProof/>
                <w:webHidden/>
              </w:rPr>
              <w:fldChar w:fldCharType="begin"/>
            </w:r>
            <w:r w:rsidRPr="0009398B">
              <w:rPr>
                <w:noProof/>
                <w:webHidden/>
              </w:rPr>
              <w:instrText xml:space="preserve"> PAGEREF _Toc219206193 \h </w:instrText>
            </w:r>
            <w:r w:rsidRPr="0009398B">
              <w:rPr>
                <w:noProof/>
                <w:webHidden/>
              </w:rPr>
            </w:r>
            <w:r w:rsidRPr="0009398B">
              <w:rPr>
                <w:noProof/>
                <w:webHidden/>
              </w:rPr>
              <w:fldChar w:fldCharType="separate"/>
            </w:r>
            <w:r w:rsidRPr="0009398B">
              <w:rPr>
                <w:noProof/>
                <w:webHidden/>
              </w:rPr>
              <w:t>5</w:t>
            </w:r>
            <w:r w:rsidRPr="0009398B">
              <w:rPr>
                <w:noProof/>
                <w:webHidden/>
              </w:rPr>
              <w:fldChar w:fldCharType="end"/>
            </w:r>
          </w:hyperlink>
        </w:p>
        <w:p w14:paraId="7E6F663D" w14:textId="6A236999" w:rsidR="000333CA" w:rsidRPr="0065253D" w:rsidRDefault="000333CA">
          <w:pPr>
            <w:pStyle w:val="TOC2"/>
            <w:rPr>
              <w:rFonts w:eastAsiaTheme="minorEastAsia" w:cstheme="minorBidi"/>
              <w:bCs w:val="0"/>
              <w:noProof/>
              <w:kern w:val="2"/>
              <w:sz w:val="24"/>
              <w:szCs w:val="21"/>
              <w:lang w:bidi="ne-NP"/>
              <w14:ligatures w14:val="standardContextual"/>
            </w:rPr>
          </w:pPr>
          <w:hyperlink w:anchor="_Toc219206194" w:history="1">
            <w:r w:rsidRPr="0009398B">
              <w:rPr>
                <w:rStyle w:val="Hyperlink"/>
                <w:noProof/>
                <w:lang w:bidi="es-US"/>
              </w:rPr>
              <w:t>Retos para la implementación del Plan</w:t>
            </w:r>
            <w:r w:rsidRPr="0009398B">
              <w:rPr>
                <w:noProof/>
                <w:webHidden/>
              </w:rPr>
              <w:tab/>
            </w:r>
            <w:r w:rsidRPr="0009398B">
              <w:rPr>
                <w:noProof/>
                <w:webHidden/>
              </w:rPr>
              <w:fldChar w:fldCharType="begin"/>
            </w:r>
            <w:r w:rsidRPr="0009398B">
              <w:rPr>
                <w:noProof/>
                <w:webHidden/>
              </w:rPr>
              <w:instrText xml:space="preserve"> PAGEREF _Toc219206194 \h </w:instrText>
            </w:r>
            <w:r w:rsidRPr="0009398B">
              <w:rPr>
                <w:noProof/>
                <w:webHidden/>
              </w:rPr>
            </w:r>
            <w:r w:rsidRPr="0009398B">
              <w:rPr>
                <w:noProof/>
                <w:webHidden/>
              </w:rPr>
              <w:fldChar w:fldCharType="separate"/>
            </w:r>
            <w:r w:rsidRPr="0009398B">
              <w:rPr>
                <w:noProof/>
                <w:webHidden/>
              </w:rPr>
              <w:t>14</w:t>
            </w:r>
            <w:r w:rsidRPr="0009398B">
              <w:rPr>
                <w:noProof/>
                <w:webHidden/>
              </w:rPr>
              <w:fldChar w:fldCharType="end"/>
            </w:r>
          </w:hyperlink>
        </w:p>
        <w:p w14:paraId="12B21D76" w14:textId="18A81505" w:rsidR="000333CA" w:rsidRPr="0065253D" w:rsidRDefault="000333CA">
          <w:pPr>
            <w:pStyle w:val="TOC3"/>
            <w:tabs>
              <w:tab w:val="right" w:leader="dot" w:pos="9350"/>
            </w:tabs>
            <w:rPr>
              <w:rFonts w:eastAsiaTheme="minorEastAsia" w:cstheme="minorBidi"/>
              <w:noProof/>
              <w:kern w:val="2"/>
              <w:sz w:val="24"/>
              <w:szCs w:val="21"/>
              <w:lang w:bidi="ne-NP"/>
              <w14:ligatures w14:val="standardContextual"/>
            </w:rPr>
          </w:pPr>
          <w:hyperlink w:anchor="_Toc219206195" w:history="1">
            <w:r w:rsidRPr="0009398B">
              <w:rPr>
                <w:rStyle w:val="Hyperlink"/>
                <w:noProof/>
                <w:lang w:bidi="es-US"/>
              </w:rPr>
              <w:t>Huracán Helene</w:t>
            </w:r>
            <w:r w:rsidRPr="0009398B">
              <w:rPr>
                <w:noProof/>
                <w:webHidden/>
              </w:rPr>
              <w:tab/>
            </w:r>
            <w:r w:rsidRPr="0009398B">
              <w:rPr>
                <w:noProof/>
                <w:webHidden/>
              </w:rPr>
              <w:fldChar w:fldCharType="begin"/>
            </w:r>
            <w:r w:rsidRPr="0009398B">
              <w:rPr>
                <w:noProof/>
                <w:webHidden/>
              </w:rPr>
              <w:instrText xml:space="preserve"> PAGEREF _Toc219206195 \h </w:instrText>
            </w:r>
            <w:r w:rsidRPr="0009398B">
              <w:rPr>
                <w:noProof/>
                <w:webHidden/>
              </w:rPr>
            </w:r>
            <w:r w:rsidRPr="0009398B">
              <w:rPr>
                <w:noProof/>
                <w:webHidden/>
              </w:rPr>
              <w:fldChar w:fldCharType="separate"/>
            </w:r>
            <w:r w:rsidRPr="0009398B">
              <w:rPr>
                <w:noProof/>
                <w:webHidden/>
              </w:rPr>
              <w:t>14</w:t>
            </w:r>
            <w:r w:rsidRPr="0009398B">
              <w:rPr>
                <w:noProof/>
                <w:webHidden/>
              </w:rPr>
              <w:fldChar w:fldCharType="end"/>
            </w:r>
          </w:hyperlink>
        </w:p>
        <w:p w14:paraId="5620EF8A" w14:textId="0F0A35F4" w:rsidR="000333CA" w:rsidRPr="0065253D" w:rsidRDefault="000333CA">
          <w:pPr>
            <w:pStyle w:val="TOC3"/>
            <w:tabs>
              <w:tab w:val="right" w:leader="dot" w:pos="9350"/>
            </w:tabs>
            <w:rPr>
              <w:rFonts w:eastAsiaTheme="minorEastAsia" w:cstheme="minorBidi"/>
              <w:noProof/>
              <w:kern w:val="2"/>
              <w:sz w:val="24"/>
              <w:szCs w:val="21"/>
              <w:lang w:bidi="ne-NP"/>
              <w14:ligatures w14:val="standardContextual"/>
            </w:rPr>
          </w:pPr>
          <w:hyperlink w:anchor="_Toc219206196" w:history="1">
            <w:r w:rsidRPr="0009398B">
              <w:rPr>
                <w:rStyle w:val="Hyperlink"/>
                <w:noProof/>
                <w:lang w:bidi="es-US"/>
              </w:rPr>
              <w:t>Abordar la actual crisis de personal</w:t>
            </w:r>
            <w:r w:rsidRPr="0009398B">
              <w:rPr>
                <w:noProof/>
                <w:webHidden/>
              </w:rPr>
              <w:tab/>
            </w:r>
            <w:r w:rsidRPr="0009398B">
              <w:rPr>
                <w:noProof/>
                <w:webHidden/>
              </w:rPr>
              <w:fldChar w:fldCharType="begin"/>
            </w:r>
            <w:r w:rsidRPr="0009398B">
              <w:rPr>
                <w:noProof/>
                <w:webHidden/>
              </w:rPr>
              <w:instrText xml:space="preserve"> PAGEREF _Toc219206196 \h </w:instrText>
            </w:r>
            <w:r w:rsidRPr="0009398B">
              <w:rPr>
                <w:noProof/>
                <w:webHidden/>
              </w:rPr>
            </w:r>
            <w:r w:rsidRPr="0009398B">
              <w:rPr>
                <w:noProof/>
                <w:webHidden/>
              </w:rPr>
              <w:fldChar w:fldCharType="separate"/>
            </w:r>
            <w:r w:rsidRPr="0009398B">
              <w:rPr>
                <w:noProof/>
                <w:webHidden/>
              </w:rPr>
              <w:t>15</w:t>
            </w:r>
            <w:r w:rsidRPr="0009398B">
              <w:rPr>
                <w:noProof/>
                <w:webHidden/>
              </w:rPr>
              <w:fldChar w:fldCharType="end"/>
            </w:r>
          </w:hyperlink>
        </w:p>
        <w:p w14:paraId="48925966" w14:textId="2EC67D7D" w:rsidR="000333CA" w:rsidRPr="0065253D" w:rsidRDefault="000333CA">
          <w:pPr>
            <w:pStyle w:val="TOC3"/>
            <w:tabs>
              <w:tab w:val="right" w:leader="dot" w:pos="9350"/>
            </w:tabs>
            <w:rPr>
              <w:rFonts w:eastAsiaTheme="minorEastAsia" w:cstheme="minorBidi"/>
              <w:noProof/>
              <w:kern w:val="2"/>
              <w:sz w:val="24"/>
              <w:szCs w:val="21"/>
              <w:lang w:bidi="ne-NP"/>
              <w14:ligatures w14:val="standardContextual"/>
            </w:rPr>
          </w:pPr>
          <w:hyperlink w:anchor="_Toc219206197" w:history="1">
            <w:r w:rsidRPr="0009398B">
              <w:rPr>
                <w:rStyle w:val="Hyperlink"/>
                <w:noProof/>
                <w:lang w:bidi="es-US"/>
              </w:rPr>
              <w:t>Cambiar a las estrategias del plan actualizado</w:t>
            </w:r>
            <w:r w:rsidRPr="0009398B">
              <w:rPr>
                <w:noProof/>
                <w:webHidden/>
              </w:rPr>
              <w:tab/>
            </w:r>
            <w:r w:rsidRPr="0009398B">
              <w:rPr>
                <w:noProof/>
                <w:webHidden/>
              </w:rPr>
              <w:fldChar w:fldCharType="begin"/>
            </w:r>
            <w:r w:rsidRPr="0009398B">
              <w:rPr>
                <w:noProof/>
                <w:webHidden/>
              </w:rPr>
              <w:instrText xml:space="preserve"> PAGEREF _Toc219206197 \h </w:instrText>
            </w:r>
            <w:r w:rsidRPr="0009398B">
              <w:rPr>
                <w:noProof/>
                <w:webHidden/>
              </w:rPr>
            </w:r>
            <w:r w:rsidRPr="0009398B">
              <w:rPr>
                <w:noProof/>
                <w:webHidden/>
              </w:rPr>
              <w:fldChar w:fldCharType="separate"/>
            </w:r>
            <w:r w:rsidRPr="0009398B">
              <w:rPr>
                <w:noProof/>
                <w:webHidden/>
              </w:rPr>
              <w:t>15</w:t>
            </w:r>
            <w:r w:rsidRPr="0009398B">
              <w:rPr>
                <w:noProof/>
                <w:webHidden/>
              </w:rPr>
              <w:fldChar w:fldCharType="end"/>
            </w:r>
          </w:hyperlink>
        </w:p>
        <w:p w14:paraId="317C76D9" w14:textId="2BDA59EB" w:rsidR="000333CA" w:rsidRPr="0065253D" w:rsidRDefault="000333CA">
          <w:pPr>
            <w:pStyle w:val="TOC1"/>
            <w:tabs>
              <w:tab w:val="right" w:leader="dot" w:pos="9350"/>
            </w:tabs>
            <w:rPr>
              <w:rFonts w:eastAsiaTheme="minorEastAsia" w:cstheme="minorBidi"/>
              <w:b w:val="0"/>
              <w:bCs w:val="0"/>
              <w:noProof/>
              <w:color w:val="auto"/>
              <w:kern w:val="2"/>
              <w:sz w:val="24"/>
              <w:szCs w:val="21"/>
              <w:lang w:bidi="ne-NP"/>
              <w14:ligatures w14:val="standardContextual"/>
            </w:rPr>
          </w:pPr>
          <w:hyperlink w:anchor="_Toc219206198" w:history="1">
            <w:r w:rsidRPr="0009398B">
              <w:rPr>
                <w:rStyle w:val="Hyperlink"/>
                <w:noProof/>
                <w:lang w:bidi="es-US"/>
              </w:rPr>
              <w:t>Próximos pasos en la implementación del Plan Olmstead</w:t>
            </w:r>
            <w:r w:rsidRPr="0009398B">
              <w:rPr>
                <w:noProof/>
                <w:webHidden/>
              </w:rPr>
              <w:tab/>
            </w:r>
            <w:r w:rsidRPr="0009398B">
              <w:rPr>
                <w:noProof/>
                <w:webHidden/>
              </w:rPr>
              <w:fldChar w:fldCharType="begin"/>
            </w:r>
            <w:r w:rsidRPr="0009398B">
              <w:rPr>
                <w:noProof/>
                <w:webHidden/>
              </w:rPr>
              <w:instrText xml:space="preserve"> PAGEREF _Toc219206198 \h </w:instrText>
            </w:r>
            <w:r w:rsidRPr="0009398B">
              <w:rPr>
                <w:noProof/>
                <w:webHidden/>
              </w:rPr>
            </w:r>
            <w:r w:rsidRPr="0009398B">
              <w:rPr>
                <w:noProof/>
                <w:webHidden/>
              </w:rPr>
              <w:fldChar w:fldCharType="separate"/>
            </w:r>
            <w:r w:rsidRPr="0009398B">
              <w:rPr>
                <w:noProof/>
                <w:webHidden/>
              </w:rPr>
              <w:t>17</w:t>
            </w:r>
            <w:r w:rsidRPr="0009398B">
              <w:rPr>
                <w:noProof/>
                <w:webHidden/>
              </w:rPr>
              <w:fldChar w:fldCharType="end"/>
            </w:r>
          </w:hyperlink>
        </w:p>
        <w:p w14:paraId="6D3B898E" w14:textId="0F0E21FA" w:rsidR="00E50446" w:rsidRPr="0009398B" w:rsidRDefault="006706C7" w:rsidP="000F1767">
          <w:r w:rsidRPr="0009398B">
            <w:rPr>
              <w:b/>
              <w:lang w:bidi="es-US"/>
            </w:rPr>
            <w:fldChar w:fldCharType="end"/>
          </w:r>
        </w:p>
      </w:sdtContent>
    </w:sdt>
    <w:p w14:paraId="6017DDCB" w14:textId="1A43893E" w:rsidR="005E7B11" w:rsidRPr="0009398B" w:rsidRDefault="005E7B11" w:rsidP="000F1767"/>
    <w:p w14:paraId="27BE59BF" w14:textId="77777777" w:rsidR="005F52C2" w:rsidRPr="0009398B" w:rsidRDefault="005F52C2" w:rsidP="000F1767">
      <w:pPr>
        <w:sectPr w:rsidR="005F52C2" w:rsidRPr="0009398B" w:rsidSect="00491DC5">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10525FDD" w14:textId="77777777" w:rsidR="004C1DFF" w:rsidRPr="0009398B" w:rsidRDefault="004C1DFF" w:rsidP="000F1767">
      <w:pPr>
        <w:pStyle w:val="Heading1"/>
      </w:pPr>
      <w:bookmarkStart w:id="0" w:name="_Toc219206190"/>
      <w:r w:rsidRPr="0009398B">
        <w:rPr>
          <w:lang w:bidi="es-US"/>
        </w:rPr>
        <w:lastRenderedPageBreak/>
        <w:t>Trasfondo e introducción</w:t>
      </w:r>
      <w:bookmarkEnd w:id="0"/>
    </w:p>
    <w:p w14:paraId="43346758" w14:textId="027554FD" w:rsidR="004C1DFF" w:rsidRPr="0009398B" w:rsidRDefault="004C1DFF" w:rsidP="000333CA">
      <w:pPr>
        <w:jc w:val="both"/>
        <w:rPr>
          <w:rStyle w:val="Condensed-02ptChar"/>
          <w:rFonts w:asciiTheme="minorHAnsi" w:hAnsiTheme="minorHAnsi" w:cstheme="minorHAnsi"/>
        </w:rPr>
      </w:pPr>
      <w:r w:rsidRPr="0009398B">
        <w:rPr>
          <w:lang w:bidi="es-US"/>
        </w:rPr>
        <w:t xml:space="preserve">En el cuarto trimestre del año calendario 2024, el Departamento de Salud y Servicios </w:t>
      </w:r>
      <w:r w:rsidR="00CF755C" w:rsidRPr="0009398B">
        <w:rPr>
          <w:lang w:bidi="es-US"/>
        </w:rPr>
        <w:t xml:space="preserve">Humanos </w:t>
      </w:r>
      <w:r w:rsidRPr="0009398B">
        <w:rPr>
          <w:lang w:bidi="es-US"/>
        </w:rPr>
        <w:t>de Carolina del Norte (North Carolina Department of Health and Human Services, NCDHHS</w:t>
      </w:r>
      <w:r w:rsidRPr="0009398B">
        <w:rPr>
          <w:rStyle w:val="Condensed-02ptChar"/>
          <w:rFonts w:asciiTheme="minorHAnsi" w:hAnsiTheme="minorHAnsi" w:cstheme="minorHAnsi"/>
          <w:lang w:bidi="es-US"/>
        </w:rPr>
        <w:t xml:space="preserve">), trabajando con otras agencias estatales y sus socios comunitarios, continuó la implementación de estrategias identificadas en el </w:t>
      </w:r>
      <w:hyperlink r:id="rId19" w:history="1">
        <w:r w:rsidRPr="0009398B">
          <w:rPr>
            <w:rStyle w:val="Hyperlink"/>
            <w:spacing w:val="-4"/>
            <w:lang w:bidi="es-US"/>
          </w:rPr>
          <w:t>Plan Olmstead 2024-2025</w:t>
        </w:r>
      </w:hyperlink>
      <w:r w:rsidRPr="0009398B">
        <w:rPr>
          <w:rStyle w:val="Condensed-02ptChar"/>
          <w:rFonts w:asciiTheme="minorHAnsi" w:hAnsiTheme="minorHAnsi" w:cstheme="minorHAnsi"/>
          <w:lang w:bidi="es-US"/>
        </w:rPr>
        <w:t>. Desde el 1 de octubre hasta el 31 de diciembre de 2024, las entidades responsables de la implementación del Plan Olmstead de Carolina del Norte perfeccionaron las acciones e</w:t>
      </w:r>
      <w:r w:rsidRPr="0009398B">
        <w:rPr>
          <w:lang w:bidi="es-US"/>
        </w:rPr>
        <w:t xml:space="preserve"> informaron sobre el avance en las estrategias de las seis áreas principales del Plan y sobre las actividades de implementación relacionadas. El personal sigue presentando informes trimestrales para recopilar información sobre los avances en las estrategias y las actividades de implementación. Estas aportaciones son la </w:t>
      </w:r>
      <w:r w:rsidRPr="0009398B">
        <w:rPr>
          <w:rStyle w:val="Condensed-02ptChar"/>
          <w:rFonts w:asciiTheme="minorHAnsi" w:hAnsiTheme="minorHAnsi" w:cstheme="minorHAnsi"/>
          <w:lang w:bidi="es-US"/>
        </w:rPr>
        <w:t xml:space="preserve">base sobre la que se mide el progreso general hacia la implementación del Plan. </w:t>
      </w:r>
      <w:r w:rsidRPr="0009398B">
        <w:rPr>
          <w:lang w:bidi="es-US"/>
        </w:rPr>
        <w:t xml:space="preserve">Es importante señalar que este informe </w:t>
      </w:r>
      <w:r w:rsidRPr="0009398B">
        <w:rPr>
          <w:rStyle w:val="Condensed-02ptChar"/>
          <w:rFonts w:asciiTheme="minorHAnsi" w:hAnsiTheme="minorHAnsi" w:cstheme="minorHAnsi"/>
          <w:lang w:bidi="es-US"/>
        </w:rPr>
        <w:t xml:space="preserve">da cuenta de </w:t>
      </w:r>
      <w:r w:rsidRPr="0009398B">
        <w:rPr>
          <w:rStyle w:val="Condensed-02ptChar"/>
          <w:rFonts w:asciiTheme="minorHAnsi" w:hAnsiTheme="minorHAnsi" w:cstheme="minorHAnsi"/>
          <w:i/>
          <w:lang w:bidi="es-US"/>
        </w:rPr>
        <w:t>la actividad</w:t>
      </w:r>
      <w:r w:rsidRPr="0009398B">
        <w:rPr>
          <w:rStyle w:val="Condensed-02ptChar"/>
          <w:rFonts w:asciiTheme="minorHAnsi" w:hAnsiTheme="minorHAnsi" w:cstheme="minorHAnsi"/>
          <w:lang w:bidi="es-US"/>
        </w:rPr>
        <w:t xml:space="preserve"> durante el cuarto trimestre de 2024; como ha sido el caso a lo largo de la serie de actualizaciones trimestrales, </w:t>
      </w:r>
      <w:r w:rsidRPr="0009398B">
        <w:rPr>
          <w:rStyle w:val="Condensed-02ptChar"/>
          <w:rFonts w:asciiTheme="minorHAnsi" w:hAnsiTheme="minorHAnsi" w:cstheme="minorHAnsi"/>
          <w:i/>
          <w:lang w:bidi="es-US"/>
        </w:rPr>
        <w:t xml:space="preserve">los datos </w:t>
      </w:r>
      <w:r w:rsidRPr="0009398B">
        <w:rPr>
          <w:rStyle w:val="Condensed-02ptChar"/>
          <w:rFonts w:asciiTheme="minorHAnsi" w:hAnsiTheme="minorHAnsi" w:cstheme="minorHAnsi"/>
          <w:lang w:bidi="es-US"/>
        </w:rPr>
        <w:t xml:space="preserve">comunicados suelen corresponder al trimestre anterior. </w:t>
      </w:r>
    </w:p>
    <w:p w14:paraId="4C6D6E70" w14:textId="6A4A2A3A" w:rsidR="004C1DFF" w:rsidRPr="0009398B" w:rsidRDefault="004C1DFF" w:rsidP="000333CA">
      <w:pPr>
        <w:jc w:val="both"/>
        <w:rPr>
          <w:rStyle w:val="Condensed-02ptChar"/>
          <w:rFonts w:asciiTheme="minorHAnsi" w:hAnsiTheme="minorHAnsi" w:cstheme="minorHAnsi"/>
        </w:rPr>
      </w:pPr>
      <w:r w:rsidRPr="0009398B">
        <w:rPr>
          <w:rStyle w:val="Condensed-02ptChar"/>
          <w:rFonts w:asciiTheme="minorHAnsi" w:hAnsiTheme="minorHAnsi" w:cstheme="minorHAnsi"/>
          <w:lang w:bidi="es-US"/>
        </w:rPr>
        <w:t xml:space="preserve">La </w:t>
      </w:r>
      <w:r w:rsidR="00C37581" w:rsidRPr="0009398B">
        <w:rPr>
          <w:lang w:bidi="es-US"/>
        </w:rPr>
        <w:t>Cooperativa de Asistencia Técnica (Technical Assistance Collaborative, TAC)</w:t>
      </w:r>
      <w:r w:rsidRPr="0009398B">
        <w:rPr>
          <w:rStyle w:val="Condensed-02ptChar"/>
          <w:rFonts w:asciiTheme="minorHAnsi" w:hAnsiTheme="minorHAnsi" w:cstheme="minorHAnsi"/>
          <w:lang w:bidi="es-US"/>
        </w:rPr>
        <w:t xml:space="preserve"> sigue examinando los avances de cada división en relación con las medidas y las acciones, que las divisiones comunican al final de cada trimestre. Rebecca Boss y Megan Lee son las consultoras de la TAC que apoyan al estado en el monitoreo trimestral. La TAC sigue trabajando con el NCDHHS y Mathematica (contratista principal para la identificación de datos de referencia y medidas de resultados específicos para el Plan). </w:t>
      </w:r>
    </w:p>
    <w:p w14:paraId="1D32A5DE" w14:textId="77777777" w:rsidR="004C1DFF" w:rsidRPr="0009398B" w:rsidRDefault="004C1DFF" w:rsidP="000333CA">
      <w:pPr>
        <w:jc w:val="both"/>
        <w:rPr>
          <w:rStyle w:val="Condensed-02ptChar"/>
          <w:rFonts w:asciiTheme="minorHAnsi" w:hAnsiTheme="minorHAnsi" w:cstheme="minorHAnsi"/>
        </w:rPr>
      </w:pPr>
      <w:r w:rsidRPr="0009398B">
        <w:rPr>
          <w:rStyle w:val="Condensed-02ptChar"/>
          <w:rFonts w:asciiTheme="minorHAnsi" w:hAnsiTheme="minorHAnsi" w:cstheme="minorHAnsi"/>
          <w:lang w:bidi="es-US"/>
        </w:rPr>
        <w:t>En un esfuerzo por lograr la visión del Plan Olmstead, el estado de Carolina del Norte está trabajando para</w:t>
      </w:r>
      <w:r w:rsidRPr="0009398B">
        <w:rPr>
          <w:lang w:bidi="es-US"/>
        </w:rPr>
        <w:t xml:space="preserve"> fortalecer su sistema comunitario y ofrecer a más personas la oportunidad de vivir como miembros incluidos en sus comunidades. </w:t>
      </w:r>
      <w:r w:rsidRPr="0009398B">
        <w:rPr>
          <w:rStyle w:val="Condensed-02ptChar"/>
          <w:rFonts w:asciiTheme="minorHAnsi" w:hAnsiTheme="minorHAnsi" w:cstheme="minorHAnsi"/>
          <w:lang w:bidi="es-US"/>
        </w:rPr>
        <w:t xml:space="preserve">Queremos dar un reconocimiento y una mención especial a todo el personal, la dirección y la Asamblea General de Carolina del Norte por el tiempo, la reflexión y los recursos que siguen invirtiendo en este proceso. </w:t>
      </w:r>
    </w:p>
    <w:p w14:paraId="2BB77DB2" w14:textId="77777777" w:rsidR="00F26BDD" w:rsidRPr="0009398B" w:rsidRDefault="00F26BDD">
      <w:pPr>
        <w:spacing w:after="0" w:line="240" w:lineRule="auto"/>
        <w:rPr>
          <w:rFonts w:ascii="Arial Black" w:eastAsiaTheme="majorEastAsia" w:hAnsi="Arial Black" w:cstheme="majorBidi"/>
          <w:b/>
          <w:bCs/>
          <w:color w:val="041E42"/>
          <w:spacing w:val="-10"/>
          <w:sz w:val="44"/>
          <w:szCs w:val="32"/>
        </w:rPr>
      </w:pPr>
      <w:r w:rsidRPr="0009398B">
        <w:rPr>
          <w:lang w:bidi="es-US"/>
        </w:rPr>
        <w:br w:type="page"/>
      </w:r>
    </w:p>
    <w:p w14:paraId="3B11EDB2" w14:textId="47553AA4" w:rsidR="004C1DFF" w:rsidRPr="0009398B" w:rsidRDefault="004C1DFF" w:rsidP="000F1767">
      <w:pPr>
        <w:pStyle w:val="Heading1"/>
      </w:pPr>
      <w:bookmarkStart w:id="1" w:name="_Toc219206191"/>
      <w:r w:rsidRPr="0009398B">
        <w:rPr>
          <w:lang w:bidi="es-US"/>
        </w:rPr>
        <w:lastRenderedPageBreak/>
        <w:t>Estado de las estrategias</w:t>
      </w:r>
      <w:bookmarkEnd w:id="1"/>
    </w:p>
    <w:p w14:paraId="39D89A69" w14:textId="77777777" w:rsidR="004C1DFF" w:rsidRPr="0009398B" w:rsidRDefault="004C1DFF" w:rsidP="000F1767">
      <w:pPr>
        <w:pStyle w:val="Caption"/>
      </w:pPr>
    </w:p>
    <w:p w14:paraId="6A36E597" w14:textId="22FAAE66" w:rsidR="004C1DFF" w:rsidRPr="0009398B" w:rsidRDefault="004C1DFF" w:rsidP="0063161C">
      <w:pPr>
        <w:pStyle w:val="Caption"/>
      </w:pPr>
      <w:r w:rsidRPr="0009398B">
        <w:rPr>
          <w:lang w:bidi="es-US"/>
        </w:rPr>
        <w:t xml:space="preserve">Tabla </w:t>
      </w:r>
      <w:fldSimple w:instr=" SEQ Table \* ARABIC ">
        <w:r w:rsidR="000333CA" w:rsidRPr="0009398B">
          <w:rPr>
            <w:noProof/>
          </w:rPr>
          <w:t>1</w:t>
        </w:r>
      </w:fldSimple>
      <w:r w:rsidRPr="0009398B">
        <w:rPr>
          <w:lang w:bidi="es-US"/>
        </w:rPr>
        <w:t>: Resumen de estrategias y acciones del Plan hasta diciembre de 2024</w:t>
      </w:r>
    </w:p>
    <w:tbl>
      <w:tblPr>
        <w:tblStyle w:val="NCOlmsteadTable"/>
        <w:tblpPr w:leftFromText="180" w:rightFromText="180" w:vertAnchor="text" w:tblpY="1"/>
        <w:tblW w:w="9360" w:type="dxa"/>
        <w:tblLook w:val="04A0" w:firstRow="1" w:lastRow="0" w:firstColumn="1" w:lastColumn="0" w:noHBand="0" w:noVBand="1"/>
      </w:tblPr>
      <w:tblGrid>
        <w:gridCol w:w="795"/>
        <w:gridCol w:w="1518"/>
        <w:gridCol w:w="1554"/>
        <w:gridCol w:w="1626"/>
        <w:gridCol w:w="1898"/>
        <w:gridCol w:w="1969"/>
      </w:tblGrid>
      <w:tr w:rsidR="00385A60" w:rsidRPr="0009398B" w14:paraId="27C7E83B" w14:textId="77777777" w:rsidTr="00385A60">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95" w:type="dxa"/>
          </w:tcPr>
          <w:p w14:paraId="5712D355" w14:textId="77777777" w:rsidR="004C1DFF" w:rsidRPr="0009398B" w:rsidRDefault="004C1DFF" w:rsidP="000F1767">
            <w:r w:rsidRPr="0009398B">
              <w:rPr>
                <w:lang w:bidi="es-US"/>
              </w:rPr>
              <w:t>Total</w:t>
            </w:r>
          </w:p>
        </w:tc>
        <w:tc>
          <w:tcPr>
            <w:tcW w:w="1518" w:type="dxa"/>
          </w:tcPr>
          <w:p w14:paraId="084238ED" w14:textId="77777777" w:rsidR="004C1DFF" w:rsidRPr="0009398B" w:rsidRDefault="004C1DFF" w:rsidP="000F1767">
            <w:pPr>
              <w:cnfStyle w:val="100000000000" w:firstRow="1" w:lastRow="0" w:firstColumn="0" w:lastColumn="0" w:oddVBand="0" w:evenVBand="0" w:oddHBand="0" w:evenHBand="0" w:firstRowFirstColumn="0" w:firstRowLastColumn="0" w:lastRowFirstColumn="0" w:lastRowLastColumn="0"/>
            </w:pPr>
            <w:r w:rsidRPr="0009398B">
              <w:rPr>
                <w:lang w:bidi="es-US"/>
              </w:rPr>
              <w:t>Finalizado</w:t>
            </w:r>
          </w:p>
        </w:tc>
        <w:tc>
          <w:tcPr>
            <w:tcW w:w="1554" w:type="dxa"/>
          </w:tcPr>
          <w:p w14:paraId="6F8E95CA" w14:textId="77777777" w:rsidR="004C1DFF" w:rsidRPr="0009398B" w:rsidRDefault="004C1DFF" w:rsidP="000F1767">
            <w:pPr>
              <w:cnfStyle w:val="100000000000" w:firstRow="1" w:lastRow="0" w:firstColumn="0" w:lastColumn="0" w:oddVBand="0" w:evenVBand="0" w:oddHBand="0" w:evenHBand="0" w:firstRowFirstColumn="0" w:firstRowLastColumn="0" w:lastRowFirstColumn="0" w:lastRowLastColumn="0"/>
            </w:pPr>
            <w:r w:rsidRPr="0009398B">
              <w:rPr>
                <w:lang w:bidi="es-US"/>
              </w:rPr>
              <w:t>En curso</w:t>
            </w:r>
          </w:p>
        </w:tc>
        <w:tc>
          <w:tcPr>
            <w:tcW w:w="1626" w:type="dxa"/>
          </w:tcPr>
          <w:p w14:paraId="4C156157" w14:textId="77777777" w:rsidR="004C1DFF" w:rsidRPr="0009398B" w:rsidRDefault="004C1DFF" w:rsidP="000F1767">
            <w:pPr>
              <w:cnfStyle w:val="100000000000" w:firstRow="1" w:lastRow="0" w:firstColumn="0" w:lastColumn="0" w:oddVBand="0" w:evenVBand="0" w:oddHBand="0" w:evenHBand="0" w:firstRowFirstColumn="0" w:firstRowLastColumn="0" w:lastRowFirstColumn="0" w:lastRowLastColumn="0"/>
            </w:pPr>
            <w:r w:rsidRPr="0009398B">
              <w:rPr>
                <w:lang w:bidi="es-US"/>
              </w:rPr>
              <w:t>No iniciado</w:t>
            </w:r>
          </w:p>
        </w:tc>
        <w:tc>
          <w:tcPr>
            <w:tcW w:w="1898" w:type="dxa"/>
          </w:tcPr>
          <w:p w14:paraId="6B44234A" w14:textId="63D55080" w:rsidR="004C1DFF" w:rsidRPr="0009398B" w:rsidRDefault="004C1DFF" w:rsidP="000F1767">
            <w:pPr>
              <w:cnfStyle w:val="100000000000" w:firstRow="1" w:lastRow="0" w:firstColumn="0" w:lastColumn="0" w:oddVBand="0" w:evenVBand="0" w:oddHBand="0" w:evenHBand="0" w:firstRowFirstColumn="0" w:firstRowLastColumn="0" w:lastRowFirstColumn="0" w:lastRowLastColumn="0"/>
            </w:pPr>
            <w:r w:rsidRPr="0009398B">
              <w:rPr>
                <w:lang w:bidi="es-US"/>
              </w:rPr>
              <w:t>Necesita revisión/</w:t>
            </w:r>
            <w:r w:rsidR="000333CA" w:rsidRPr="0009398B">
              <w:rPr>
                <w:lang w:bidi="es-US"/>
              </w:rPr>
              <w:t xml:space="preserve"> </w:t>
            </w:r>
            <w:r w:rsidRPr="0009398B">
              <w:rPr>
                <w:lang w:bidi="es-US"/>
              </w:rPr>
              <w:t>aclaración</w:t>
            </w:r>
          </w:p>
        </w:tc>
        <w:tc>
          <w:tcPr>
            <w:tcW w:w="1969" w:type="dxa"/>
          </w:tcPr>
          <w:p w14:paraId="300AC22C" w14:textId="77777777" w:rsidR="004C1DFF" w:rsidRPr="0009398B" w:rsidRDefault="004C1DFF" w:rsidP="000F1767">
            <w:pPr>
              <w:cnfStyle w:val="100000000000" w:firstRow="1" w:lastRow="0" w:firstColumn="0" w:lastColumn="0" w:oddVBand="0" w:evenVBand="0" w:oddHBand="0" w:evenHBand="0" w:firstRowFirstColumn="0" w:firstRowLastColumn="0" w:lastRowFirstColumn="0" w:lastRowLastColumn="0"/>
            </w:pPr>
            <w:r w:rsidRPr="0009398B">
              <w:rPr>
                <w:lang w:bidi="es-US"/>
              </w:rPr>
              <w:t>Ya no está en curso</w:t>
            </w:r>
          </w:p>
        </w:tc>
      </w:tr>
      <w:tr w:rsidR="000F1767" w:rsidRPr="0009398B" w14:paraId="5EF5802A" w14:textId="77777777" w:rsidTr="00C70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5" w:type="dxa"/>
            <w:vAlign w:val="center"/>
          </w:tcPr>
          <w:p w14:paraId="3B24D588" w14:textId="77777777" w:rsidR="004C1DFF" w:rsidRPr="0009398B" w:rsidRDefault="004C1DFF" w:rsidP="0063161C">
            <w:r w:rsidRPr="0009398B">
              <w:rPr>
                <w:lang w:bidi="es-US"/>
              </w:rPr>
              <w:t>45</w:t>
            </w:r>
          </w:p>
        </w:tc>
        <w:tc>
          <w:tcPr>
            <w:tcW w:w="1518" w:type="dxa"/>
            <w:vAlign w:val="center"/>
          </w:tcPr>
          <w:p w14:paraId="0F20A1CB" w14:textId="77777777" w:rsidR="004C1DFF" w:rsidRPr="0009398B" w:rsidRDefault="004C1DFF" w:rsidP="0063161C">
            <w:pPr>
              <w:cnfStyle w:val="000000100000" w:firstRow="0" w:lastRow="0" w:firstColumn="0" w:lastColumn="0" w:oddVBand="0" w:evenVBand="0" w:oddHBand="1" w:evenHBand="0" w:firstRowFirstColumn="0" w:firstRowLastColumn="0" w:lastRowFirstColumn="0" w:lastRowLastColumn="0"/>
            </w:pPr>
            <w:r w:rsidRPr="0009398B">
              <w:rPr>
                <w:lang w:bidi="es-US"/>
              </w:rPr>
              <w:t>8</w:t>
            </w:r>
          </w:p>
        </w:tc>
        <w:tc>
          <w:tcPr>
            <w:tcW w:w="1554" w:type="dxa"/>
            <w:vAlign w:val="center"/>
          </w:tcPr>
          <w:p w14:paraId="71EBA4FC" w14:textId="77777777" w:rsidR="004C1DFF" w:rsidRPr="0009398B" w:rsidRDefault="004C1DFF" w:rsidP="000F1767">
            <w:pPr>
              <w:cnfStyle w:val="000000100000" w:firstRow="0" w:lastRow="0" w:firstColumn="0" w:lastColumn="0" w:oddVBand="0" w:evenVBand="0" w:oddHBand="1" w:evenHBand="0" w:firstRowFirstColumn="0" w:firstRowLastColumn="0" w:lastRowFirstColumn="0" w:lastRowLastColumn="0"/>
            </w:pPr>
            <w:r w:rsidRPr="0009398B">
              <w:rPr>
                <w:lang w:bidi="es-US"/>
              </w:rPr>
              <w:t>33</w:t>
            </w:r>
          </w:p>
        </w:tc>
        <w:tc>
          <w:tcPr>
            <w:tcW w:w="1626" w:type="dxa"/>
            <w:vAlign w:val="center"/>
          </w:tcPr>
          <w:p w14:paraId="7825593F" w14:textId="77777777" w:rsidR="004C1DFF" w:rsidRPr="0009398B" w:rsidRDefault="004C1DFF" w:rsidP="0063161C">
            <w:pPr>
              <w:cnfStyle w:val="000000100000" w:firstRow="0" w:lastRow="0" w:firstColumn="0" w:lastColumn="0" w:oddVBand="0" w:evenVBand="0" w:oddHBand="1" w:evenHBand="0" w:firstRowFirstColumn="0" w:firstRowLastColumn="0" w:lastRowFirstColumn="0" w:lastRowLastColumn="0"/>
            </w:pPr>
            <w:r w:rsidRPr="0009398B">
              <w:rPr>
                <w:lang w:bidi="es-US"/>
              </w:rPr>
              <w:t>1</w:t>
            </w:r>
          </w:p>
        </w:tc>
        <w:tc>
          <w:tcPr>
            <w:tcW w:w="1898" w:type="dxa"/>
            <w:vAlign w:val="center"/>
          </w:tcPr>
          <w:p w14:paraId="4BDDAFE9" w14:textId="77AE16C9" w:rsidR="004C1DFF" w:rsidRPr="0009398B" w:rsidRDefault="004C1DFF" w:rsidP="0063161C">
            <w:pPr>
              <w:cnfStyle w:val="000000100000" w:firstRow="0" w:lastRow="0" w:firstColumn="0" w:lastColumn="0" w:oddVBand="0" w:evenVBand="0" w:oddHBand="1" w:evenHBand="0" w:firstRowFirstColumn="0" w:firstRowLastColumn="0" w:lastRowFirstColumn="0" w:lastRowLastColumn="0"/>
            </w:pPr>
            <w:r w:rsidRPr="0009398B">
              <w:rPr>
                <w:lang w:bidi="es-US"/>
              </w:rPr>
              <w:t>3</w:t>
            </w:r>
          </w:p>
        </w:tc>
        <w:tc>
          <w:tcPr>
            <w:tcW w:w="1969" w:type="dxa"/>
            <w:vAlign w:val="center"/>
          </w:tcPr>
          <w:p w14:paraId="12B25863" w14:textId="77777777" w:rsidR="004C1DFF" w:rsidRPr="0009398B" w:rsidRDefault="004C1DFF" w:rsidP="0063161C">
            <w:pPr>
              <w:cnfStyle w:val="000000100000" w:firstRow="0" w:lastRow="0" w:firstColumn="0" w:lastColumn="0" w:oddVBand="0" w:evenVBand="0" w:oddHBand="1" w:evenHBand="0" w:firstRowFirstColumn="0" w:firstRowLastColumn="0" w:lastRowFirstColumn="0" w:lastRowLastColumn="0"/>
            </w:pPr>
            <w:r w:rsidRPr="0009398B">
              <w:rPr>
                <w:lang w:bidi="es-US"/>
              </w:rPr>
              <w:t>—</w:t>
            </w:r>
          </w:p>
        </w:tc>
      </w:tr>
    </w:tbl>
    <w:p w14:paraId="0B42BFED" w14:textId="77777777" w:rsidR="004C1DFF" w:rsidRPr="0009398B" w:rsidRDefault="004C1DFF" w:rsidP="000F1767"/>
    <w:p w14:paraId="1AC99375" w14:textId="77777777" w:rsidR="004C1DFF" w:rsidRPr="0009398B" w:rsidRDefault="004C1DFF" w:rsidP="000333CA">
      <w:pPr>
        <w:jc w:val="both"/>
      </w:pPr>
      <w:r w:rsidRPr="0009398B">
        <w:rPr>
          <w:i/>
          <w:lang w:bidi="es-US"/>
        </w:rPr>
        <w:t>Finalizado:</w:t>
      </w:r>
      <w:r w:rsidRPr="0009398B">
        <w:rPr>
          <w:lang w:bidi="es-US"/>
        </w:rPr>
        <w:t xml:space="preserve"> se cumplieron la estrategia y todas las acciones identificadas.</w:t>
      </w:r>
    </w:p>
    <w:p w14:paraId="422AB75C" w14:textId="77777777" w:rsidR="004C1DFF" w:rsidRPr="0009398B" w:rsidRDefault="004C1DFF" w:rsidP="000333CA">
      <w:pPr>
        <w:jc w:val="both"/>
      </w:pPr>
      <w:r w:rsidRPr="0009398B">
        <w:rPr>
          <w:i/>
          <w:lang w:bidi="es-US"/>
        </w:rPr>
        <w:t>En curso:</w:t>
      </w:r>
      <w:r w:rsidRPr="0009398B">
        <w:rPr>
          <w:lang w:bidi="es-US"/>
        </w:rPr>
        <w:t xml:space="preserve"> el personal participó activamente en la estrategia, y se adoptó al menos una medida.</w:t>
      </w:r>
    </w:p>
    <w:p w14:paraId="7BC925AD" w14:textId="77777777" w:rsidR="004C1DFF" w:rsidRPr="0009398B" w:rsidRDefault="004C1DFF" w:rsidP="000333CA">
      <w:pPr>
        <w:jc w:val="both"/>
      </w:pPr>
      <w:r w:rsidRPr="0009398B">
        <w:rPr>
          <w:i/>
          <w:lang w:bidi="es-US"/>
        </w:rPr>
        <w:t>No iniciado:</w:t>
      </w:r>
      <w:r w:rsidRPr="0009398B">
        <w:rPr>
          <w:lang w:bidi="es-US"/>
        </w:rPr>
        <w:t xml:space="preserve"> el trabajo relacionado con las estrategias o las acciones no estaba en marcha al final del periodo que se informa. </w:t>
      </w:r>
    </w:p>
    <w:p w14:paraId="6EB75535" w14:textId="0DBFEDB2" w:rsidR="004C1DFF" w:rsidRPr="0009398B" w:rsidRDefault="004C1DFF" w:rsidP="000333CA">
      <w:pPr>
        <w:jc w:val="both"/>
      </w:pPr>
      <w:r w:rsidRPr="0009398B">
        <w:rPr>
          <w:i/>
          <w:lang w:bidi="es-US"/>
        </w:rPr>
        <w:t>Necesita revisión/aclaración:</w:t>
      </w:r>
      <w:r w:rsidRPr="0009398B">
        <w:rPr>
          <w:lang w:bidi="es-US"/>
        </w:rPr>
        <w:t xml:space="preserve"> la estrategia </w:t>
      </w:r>
      <w:r w:rsidRPr="0009398B">
        <w:rPr>
          <w:i/>
          <w:lang w:bidi="es-US"/>
        </w:rPr>
        <w:t xml:space="preserve">podría </w:t>
      </w:r>
      <w:r w:rsidRPr="0009398B">
        <w:rPr>
          <w:lang w:bidi="es-US"/>
        </w:rPr>
        <w:t>seguir adelante con modificaciones. Nota: Para el periodo de este informe, el estado puede reflejar estrategias que podrían haber avanzado, pero no hay información suficiente para clasificarlas.</w:t>
      </w:r>
    </w:p>
    <w:p w14:paraId="0A4CB9BC" w14:textId="77777777" w:rsidR="004C1DFF" w:rsidRPr="0009398B" w:rsidRDefault="004C1DFF" w:rsidP="000333CA">
      <w:pPr>
        <w:jc w:val="both"/>
      </w:pPr>
      <w:r w:rsidRPr="0009398B">
        <w:rPr>
          <w:i/>
          <w:lang w:bidi="es-US"/>
        </w:rPr>
        <w:t>Ya no está en curso:</w:t>
      </w:r>
      <w:r w:rsidRPr="0009398B">
        <w:rPr>
          <w:lang w:bidi="es-US"/>
        </w:rPr>
        <w:t xml:space="preserve"> la estrategia ya no está activa para la implementación del Plan.</w:t>
      </w:r>
    </w:p>
    <w:p w14:paraId="3C7E0EEE" w14:textId="20083A3D" w:rsidR="004C1DFF" w:rsidRPr="0009398B" w:rsidRDefault="004C1DFF" w:rsidP="000333CA">
      <w:pPr>
        <w:jc w:val="both"/>
      </w:pPr>
      <w:r w:rsidRPr="0009398B">
        <w:rPr>
          <w:lang w:bidi="es-US"/>
        </w:rPr>
        <w:t xml:space="preserve">En el transcurso de la implementación del Plan 2024-2025, se espera que el NCDHHS siga perfeccionando y modificando las estrategias y las acciones; la TAC hará seguimiento y monitoreará estos cambios realizando un informe de avances trimestrales consolidado. La TAC continuará trabajando con el NCDHHS para evaluar la necesidad de asistencia técnica específica y de prestarla para avanzar en el progreso de todas las estrategias en el Plan para el año calendario (AC) 2024-2025. </w:t>
      </w:r>
    </w:p>
    <w:p w14:paraId="4B0F8BB0" w14:textId="77777777" w:rsidR="004C1DFF" w:rsidRPr="0009398B" w:rsidRDefault="004C1DFF" w:rsidP="000F1767">
      <w:pPr>
        <w:pStyle w:val="Heading2"/>
      </w:pPr>
      <w:bookmarkStart w:id="2" w:name="_Toc219206192"/>
      <w:r w:rsidRPr="0009398B">
        <w:rPr>
          <w:lang w:bidi="es-US"/>
        </w:rPr>
        <w:t>Progresos más destacados</w:t>
      </w:r>
      <w:bookmarkEnd w:id="2"/>
    </w:p>
    <w:p w14:paraId="2E6EC6DD" w14:textId="3A42D561" w:rsidR="004C1DFF" w:rsidRPr="0009398B" w:rsidRDefault="004C1DFF" w:rsidP="000333CA">
      <w:pPr>
        <w:jc w:val="both"/>
      </w:pPr>
      <w:r w:rsidRPr="0009398B">
        <w:rPr>
          <w:lang w:bidi="es-US"/>
        </w:rPr>
        <w:t xml:space="preserve">Las divisiones del NCDHHS informaron de los avances en las estrategias durante el tercer trimestre de implementación del Plan 2024-2025. Se pueden encontrar ejemplos de los avances logrados con el plan anterior en los </w:t>
      </w:r>
      <w:hyperlink r:id="rId20" w:history="1">
        <w:r w:rsidRPr="0009398B">
          <w:rPr>
            <w:rStyle w:val="Hyperlink"/>
            <w:lang w:bidi="es-US"/>
          </w:rPr>
          <w:t>informes resumidos trimestrales</w:t>
        </w:r>
      </w:hyperlink>
      <w:r w:rsidRPr="0009398B">
        <w:rPr>
          <w:lang w:bidi="es-US"/>
        </w:rPr>
        <w:t xml:space="preserve"> que el Departamento publicó con anterioridad en el sitio web del Plan Olmstead del NCDHHS. A </w:t>
      </w:r>
      <w:r w:rsidR="007344E6" w:rsidRPr="0009398B">
        <w:rPr>
          <w:lang w:bidi="es-US"/>
        </w:rPr>
        <w:t>continuación,</w:t>
      </w:r>
      <w:r w:rsidRPr="0009398B">
        <w:rPr>
          <w:lang w:bidi="es-US"/>
        </w:rPr>
        <w:t xml:space="preserve"> se destacan </w:t>
      </w:r>
      <w:r w:rsidRPr="0009398B">
        <w:rPr>
          <w:i/>
          <w:lang w:bidi="es-US"/>
        </w:rPr>
        <w:t>ejemplos</w:t>
      </w:r>
      <w:r w:rsidRPr="0009398B">
        <w:rPr>
          <w:lang w:bidi="es-US"/>
        </w:rPr>
        <w:t xml:space="preserve"> de los avances logrados entre </w:t>
      </w:r>
      <w:bookmarkStart w:id="3" w:name="_Hlk167739942"/>
      <w:r w:rsidRPr="0009398B">
        <w:rPr>
          <w:lang w:bidi="es-US"/>
        </w:rPr>
        <w:t>el 1 de octubre y el 31 de diciembre de 2024</w:t>
      </w:r>
      <w:bookmarkEnd w:id="3"/>
      <w:r w:rsidRPr="0009398B">
        <w:rPr>
          <w:lang w:bidi="es-US"/>
        </w:rPr>
        <w:t>.</w:t>
      </w:r>
    </w:p>
    <w:p w14:paraId="445D4F91" w14:textId="1DD0D811" w:rsidR="004C1DFF" w:rsidRPr="0009398B" w:rsidRDefault="004C1DFF" w:rsidP="000333CA">
      <w:pPr>
        <w:pStyle w:val="Heading3"/>
        <w:jc w:val="both"/>
      </w:pPr>
      <w:bookmarkStart w:id="4" w:name="_Toc219206193"/>
      <w:r w:rsidRPr="0009398B">
        <w:rPr>
          <w:lang w:bidi="es-US"/>
        </w:rPr>
        <w:lastRenderedPageBreak/>
        <w:t>Ejemplos de estrategias y acciones completadas o en proceso entre el 1 de octubre y el 31 de diciembre de 2024</w:t>
      </w:r>
      <w:bookmarkEnd w:id="4"/>
    </w:p>
    <w:p w14:paraId="4AC235AE" w14:textId="5C7296DD" w:rsidR="004C1DFF" w:rsidRPr="0009398B" w:rsidRDefault="004C1DFF" w:rsidP="000333CA">
      <w:pPr>
        <w:pStyle w:val="Heading4"/>
        <w:jc w:val="both"/>
      </w:pPr>
      <w:r w:rsidRPr="0009398B">
        <w:rPr>
          <w:rFonts w:cstheme="minorHAnsi"/>
          <w:lang w:bidi="es-US"/>
        </w:rPr>
        <w:t>Área prioritaria </w:t>
      </w:r>
      <w:r w:rsidR="007344E6" w:rsidRPr="0009398B">
        <w:rPr>
          <w:rFonts w:cstheme="minorHAnsi"/>
          <w:lang w:bidi="es-US"/>
        </w:rPr>
        <w:t>n</w:t>
      </w:r>
      <w:r w:rsidR="00780442" w:rsidRPr="0009398B">
        <w:rPr>
          <w:rFonts w:cstheme="minorHAnsi"/>
          <w:lang w:bidi="es-US"/>
        </w:rPr>
        <w:t>úm</w:t>
      </w:r>
      <w:r w:rsidRPr="0009398B">
        <w:rPr>
          <w:rFonts w:cstheme="minorHAnsi"/>
          <w:lang w:bidi="es-US"/>
        </w:rPr>
        <w:t xml:space="preserve">. 1: </w:t>
      </w:r>
      <w:r w:rsidRPr="0009398B">
        <w:rPr>
          <w:lang w:bidi="es-US"/>
        </w:rPr>
        <w:t xml:space="preserve">Aumentar las oportunidades para que las personas y las familias opten por la inclusión en la comunidad mediante el acceso a los servicios y los apoyos </w:t>
      </w:r>
      <w:r w:rsidR="00A5622F" w:rsidRPr="0009398B">
        <w:rPr>
          <w:lang w:bidi="es-US"/>
        </w:rPr>
        <w:t xml:space="preserve">basados </w:t>
      </w:r>
      <w:r w:rsidR="001E0747" w:rsidRPr="0009398B">
        <w:rPr>
          <w:lang w:bidi="es-US"/>
        </w:rPr>
        <w:t xml:space="preserve">en el hogar </w:t>
      </w:r>
      <w:r w:rsidRPr="0009398B">
        <w:rPr>
          <w:lang w:bidi="es-US"/>
        </w:rPr>
        <w:t>y</w:t>
      </w:r>
      <w:r w:rsidR="001E0747" w:rsidRPr="0009398B">
        <w:rPr>
          <w:lang w:bidi="es-US"/>
        </w:rPr>
        <w:t xml:space="preserve"> la comunidad</w:t>
      </w:r>
      <w:r w:rsidRPr="0009398B">
        <w:rPr>
          <w:lang w:bidi="es-US"/>
        </w:rPr>
        <w:t xml:space="preserve"> de la exención de Medicaid  </w:t>
      </w:r>
    </w:p>
    <w:p w14:paraId="17924368" w14:textId="6AAE68BA" w:rsidR="004C1DFF" w:rsidRPr="0009398B" w:rsidRDefault="004C1DFF" w:rsidP="000333CA">
      <w:pPr>
        <w:jc w:val="both"/>
      </w:pPr>
      <w:r w:rsidRPr="0009398B">
        <w:rPr>
          <w:lang w:bidi="es-US"/>
        </w:rPr>
        <w:t xml:space="preserve">Los servicios </w:t>
      </w:r>
      <w:r w:rsidR="00DF65EA" w:rsidRPr="0009398B">
        <w:rPr>
          <w:lang w:bidi="es-US"/>
        </w:rPr>
        <w:t xml:space="preserve">basados en el hogar </w:t>
      </w:r>
      <w:r w:rsidRPr="0009398B">
        <w:rPr>
          <w:lang w:bidi="es-US"/>
        </w:rPr>
        <w:t xml:space="preserve">y </w:t>
      </w:r>
      <w:r w:rsidR="001E0747" w:rsidRPr="0009398B">
        <w:rPr>
          <w:lang w:bidi="es-US"/>
        </w:rPr>
        <w:t xml:space="preserve">la </w:t>
      </w:r>
      <w:r w:rsidRPr="0009398B">
        <w:rPr>
          <w:lang w:bidi="es-US"/>
        </w:rPr>
        <w:t>comuni</w:t>
      </w:r>
      <w:r w:rsidR="001E0747" w:rsidRPr="0009398B">
        <w:rPr>
          <w:lang w:bidi="es-US"/>
        </w:rPr>
        <w:t>dad</w:t>
      </w:r>
      <w:r w:rsidRPr="0009398B">
        <w:rPr>
          <w:lang w:bidi="es-US"/>
        </w:rPr>
        <w:t xml:space="preserve"> (Home and </w:t>
      </w:r>
      <w:proofErr w:type="spellStart"/>
      <w:r w:rsidRPr="0009398B">
        <w:rPr>
          <w:lang w:bidi="es-US"/>
        </w:rPr>
        <w:t>Community-Based</w:t>
      </w:r>
      <w:proofErr w:type="spellEnd"/>
      <w:r w:rsidRPr="0009398B">
        <w:rPr>
          <w:lang w:bidi="es-US"/>
        </w:rPr>
        <w:t xml:space="preserve"> Services, HCBS) ofrecen a los beneficiarios de Medicaid la oportunidad de recibir los servicios en sus hogares o en un entorno integrado a la comunidad, en lugar de en instituciones u otros entornos colectivos. Por lo tanto, el acceso a los HCBS es un componente fundamental para ayudar a las personas a vivir plenamente en la comunidad. Carolina del Norte tiene cuatro exenciones de Medicaid que proporcionan fondos federales equivalentes para los HCBS: (1) la exención Innovations para personas con discapacidad</w:t>
      </w:r>
      <w:r w:rsidR="00780442" w:rsidRPr="0009398B">
        <w:rPr>
          <w:lang w:bidi="es-US"/>
        </w:rPr>
        <w:t>es</w:t>
      </w:r>
      <w:r w:rsidRPr="0009398B">
        <w:rPr>
          <w:lang w:bidi="es-US"/>
        </w:rPr>
        <w:t xml:space="preserve"> intelectual</w:t>
      </w:r>
      <w:r w:rsidR="00780442" w:rsidRPr="0009398B">
        <w:rPr>
          <w:lang w:bidi="es-US"/>
        </w:rPr>
        <w:t>es</w:t>
      </w:r>
      <w:r w:rsidRPr="0009398B">
        <w:rPr>
          <w:lang w:bidi="es-US"/>
        </w:rPr>
        <w:t xml:space="preserve"> y otras discapacidades del desarrollo (I/DD); (2) la exención por lesión cerebral traumática (Traumatic Brain Injury, TBI); (3) para niños con problemas de salud frágiles o complejos, la exención del Programa de Alternativas Comunitarias para Niños (Community Alternatives Program for Children, CAP/C), y (4) para adultos mayores de 18 años con problemas de salud frágiles y en riesgo de ser internados en una institución, la exención del Programa de Alternativas Comunitarias para Adultos con Discapacidades (Community Alternatives Program for Disabled Adults, CAP/DA). </w:t>
      </w:r>
    </w:p>
    <w:p w14:paraId="6130B589" w14:textId="3FF4A740" w:rsidR="004C1DFF" w:rsidRPr="0009398B" w:rsidRDefault="004C1DFF" w:rsidP="000333CA">
      <w:pPr>
        <w:jc w:val="both"/>
        <w:rPr>
          <w:rFonts w:ascii="Arial" w:hAnsi="Arial" w:cs="Arial"/>
          <w:sz w:val="20"/>
          <w:szCs w:val="20"/>
        </w:rPr>
      </w:pPr>
      <w:r w:rsidRPr="0009398B">
        <w:rPr>
          <w:lang w:bidi="es-US"/>
        </w:rPr>
        <w:t xml:space="preserve">En marzo de 2024, la División de Beneficios de Salud (Division of Health Benefits, DHB) aumentó el acceso a los HCBS para niños añadiendo 500 plazas a la exención del CAP/C. En este trimestre, la DHB informa de que dispone de un proceso de monitoreo establecido para garantizar el acceso a las plazas. Esta estrategia ha concluido. La DHB también está avanzando en el procesamiento de las </w:t>
      </w:r>
      <w:r w:rsidR="002C06D9" w:rsidRPr="0009398B">
        <w:rPr>
          <w:lang w:bidi="es-US"/>
        </w:rPr>
        <w:t xml:space="preserve">remisiones </w:t>
      </w:r>
      <w:r w:rsidRPr="0009398B">
        <w:rPr>
          <w:lang w:bidi="es-US"/>
        </w:rPr>
        <w:t>recibidas para determinar si reúnen los requisitos para la inscripción en la exención del CAP/C y en el seguimiento de la inscripción por afección primaria</w:t>
      </w:r>
      <w:r w:rsidRPr="0009398B">
        <w:rPr>
          <w:rFonts w:ascii="Arial" w:eastAsia="Arial" w:hAnsi="Arial" w:cs="Arial"/>
          <w:sz w:val="20"/>
          <w:szCs w:val="20"/>
          <w:lang w:bidi="es-US"/>
        </w:rPr>
        <w:t>. </w:t>
      </w:r>
    </w:p>
    <w:p w14:paraId="24B130EC" w14:textId="27C10982" w:rsidR="004C1DFF" w:rsidRPr="0009398B" w:rsidRDefault="004C1DFF" w:rsidP="000333CA">
      <w:pPr>
        <w:jc w:val="both"/>
        <w:rPr>
          <w:color w:val="191919"/>
          <w:szCs w:val="22"/>
        </w:rPr>
      </w:pPr>
      <w:r w:rsidRPr="0009398B">
        <w:rPr>
          <w:color w:val="030220"/>
          <w:szCs w:val="22"/>
          <w:lang w:bidi="es-US"/>
        </w:rPr>
        <w:t xml:space="preserve">A través de </w:t>
      </w:r>
      <w:hyperlink r:id="rId21" w:tgtFrame="_blank" w:history="1">
        <w:r w:rsidRPr="0009398B">
          <w:rPr>
            <w:rStyle w:val="Hyperlink"/>
            <w:color w:val="284FA1"/>
            <w:szCs w:val="22"/>
            <w:lang w:bidi="es-US"/>
          </w:rPr>
          <w:t>Inclusion Connects</w:t>
        </w:r>
      </w:hyperlink>
      <w:r w:rsidRPr="0009398B">
        <w:rPr>
          <w:color w:val="030220"/>
          <w:szCs w:val="22"/>
          <w:lang w:bidi="es-US"/>
        </w:rPr>
        <w:t xml:space="preserve">, la División de Servicios de Salud Mental, </w:t>
      </w:r>
      <w:r w:rsidR="00AD72BC" w:rsidRPr="0065253D">
        <w:rPr>
          <w:lang w:bidi="es-US"/>
        </w:rPr>
        <w:t>Discapacidades de Desarrollo y Uso de Sustancias</w:t>
      </w:r>
      <w:r w:rsidRPr="0009398B">
        <w:rPr>
          <w:color w:val="030220"/>
          <w:szCs w:val="22"/>
          <w:lang w:bidi="es-US"/>
        </w:rPr>
        <w:t xml:space="preserve"> (</w:t>
      </w:r>
      <w:proofErr w:type="spellStart"/>
      <w:r w:rsidRPr="0009398B">
        <w:rPr>
          <w:color w:val="030220"/>
          <w:szCs w:val="22"/>
          <w:lang w:bidi="es-US"/>
        </w:rPr>
        <w:t>Division</w:t>
      </w:r>
      <w:proofErr w:type="spellEnd"/>
      <w:r w:rsidRPr="0009398B">
        <w:rPr>
          <w:color w:val="030220"/>
          <w:szCs w:val="22"/>
          <w:lang w:bidi="es-US"/>
        </w:rPr>
        <w:t xml:space="preserve"> </w:t>
      </w:r>
      <w:proofErr w:type="spellStart"/>
      <w:r w:rsidRPr="0009398B">
        <w:rPr>
          <w:color w:val="030220"/>
          <w:szCs w:val="22"/>
          <w:lang w:bidi="es-US"/>
        </w:rPr>
        <w:t>of</w:t>
      </w:r>
      <w:proofErr w:type="spellEnd"/>
      <w:r w:rsidRPr="0009398B">
        <w:rPr>
          <w:color w:val="030220"/>
          <w:szCs w:val="22"/>
          <w:lang w:bidi="es-US"/>
        </w:rPr>
        <w:t xml:space="preserve"> Mental Health, Developmental Disabilities, and Substance Use Services, DMH/DD/SUS) lanzó el nuevo </w:t>
      </w:r>
      <w:hyperlink r:id="rId22" w:history="1">
        <w:r w:rsidRPr="0009398B">
          <w:rPr>
            <w:rStyle w:val="Hyperlink"/>
            <w:szCs w:val="22"/>
            <w:lang w:bidi="es-US"/>
          </w:rPr>
          <w:t>tablero de la lista de espera de la exención Innovations</w:t>
        </w:r>
      </w:hyperlink>
      <w:r w:rsidRPr="0009398B">
        <w:rPr>
          <w:color w:val="030220"/>
          <w:szCs w:val="22"/>
          <w:lang w:bidi="es-US"/>
        </w:rPr>
        <w:t xml:space="preserve">. Esta herramienta hace que se avance en los objetivos </w:t>
      </w:r>
      <w:hyperlink r:id="rId23" w:tgtFrame="_blank" w:history="1">
        <w:r w:rsidRPr="0009398B">
          <w:rPr>
            <w:rStyle w:val="Hyperlink"/>
            <w:color w:val="284FA1"/>
            <w:szCs w:val="22"/>
            <w:lang w:bidi="es-US"/>
          </w:rPr>
          <w:t>del Plan Estratégico de DMH/DD/SUS</w:t>
        </w:r>
      </w:hyperlink>
      <w:r w:rsidRPr="0009398B">
        <w:rPr>
          <w:color w:val="030220"/>
          <w:szCs w:val="22"/>
          <w:lang w:bidi="es-US"/>
        </w:rPr>
        <w:t xml:space="preserve"> relacionados con aumentar la cantidad de personas con </w:t>
      </w:r>
      <w:r w:rsidR="002A01B6" w:rsidRPr="0009398B">
        <w:rPr>
          <w:color w:val="030220"/>
          <w:szCs w:val="22"/>
          <w:lang w:bidi="es-US"/>
        </w:rPr>
        <w:t>discapacidades intelectuales y del desarrollo (</w:t>
      </w:r>
      <w:r w:rsidRPr="0009398B">
        <w:rPr>
          <w:color w:val="030220"/>
          <w:szCs w:val="22"/>
          <w:lang w:bidi="es-US"/>
        </w:rPr>
        <w:t>I/DD</w:t>
      </w:r>
      <w:r w:rsidR="002A01B6" w:rsidRPr="0009398B">
        <w:rPr>
          <w:color w:val="030220"/>
          <w:szCs w:val="22"/>
          <w:lang w:bidi="es-US"/>
        </w:rPr>
        <w:t>, por sus siglas en inglés)</w:t>
      </w:r>
      <w:r w:rsidRPr="0009398B">
        <w:rPr>
          <w:color w:val="030220"/>
          <w:szCs w:val="22"/>
          <w:lang w:bidi="es-US"/>
        </w:rPr>
        <w:t xml:space="preserve"> que reciben servicios de alta calidad en sus hogares y sus comunidades. Cuando la información es clara y accesible, todos pueden estar más comprometidos e informados. El tablero aumentará las </w:t>
      </w:r>
      <w:r w:rsidRPr="0009398B">
        <w:rPr>
          <w:color w:val="191919"/>
          <w:szCs w:val="22"/>
          <w:lang w:bidi="es-US"/>
        </w:rPr>
        <w:t xml:space="preserve">estrategias basadas en datos de la DMH/DD/SUS para comprender los servicios que se utilizan actualmente, los servicios que aún se necesitan y el personal necesario para satisfacer estas necesidades. </w:t>
      </w:r>
      <w:bookmarkStart w:id="5" w:name="_Hlk190341615"/>
    </w:p>
    <w:p w14:paraId="1062E67A" w14:textId="3223010D" w:rsidR="004C1DFF" w:rsidRPr="0009398B" w:rsidRDefault="004C1DFF" w:rsidP="000333CA">
      <w:pPr>
        <w:pStyle w:val="Heading4"/>
        <w:jc w:val="both"/>
      </w:pPr>
      <w:r w:rsidRPr="0009398B">
        <w:rPr>
          <w:lang w:bidi="es-US"/>
        </w:rPr>
        <w:t xml:space="preserve">Área prioritaria </w:t>
      </w:r>
      <w:bookmarkEnd w:id="5"/>
      <w:r w:rsidR="00F62AE5" w:rsidRPr="0009398B">
        <w:rPr>
          <w:lang w:bidi="es-US"/>
        </w:rPr>
        <w:t>n</w:t>
      </w:r>
      <w:r w:rsidR="00497B7C" w:rsidRPr="0009398B">
        <w:rPr>
          <w:lang w:bidi="es-US"/>
        </w:rPr>
        <w:t>úm</w:t>
      </w:r>
      <w:r w:rsidRPr="0009398B">
        <w:rPr>
          <w:lang w:bidi="es-US"/>
        </w:rPr>
        <w:t xml:space="preserve">. 2: Reforzar las oportunidades para evitar la </w:t>
      </w:r>
      <w:r w:rsidR="0000555E" w:rsidRPr="0009398B">
        <w:rPr>
          <w:lang w:bidi="es-US"/>
        </w:rPr>
        <w:t xml:space="preserve">admisión </w:t>
      </w:r>
      <w:r w:rsidRPr="0009398B">
        <w:rPr>
          <w:lang w:bidi="es-US"/>
        </w:rPr>
        <w:t>innecesaria y los entornos que separan a las personas de la comunidad, y ayudarlas en la transición</w:t>
      </w:r>
    </w:p>
    <w:p w14:paraId="3D309F60" w14:textId="11D8DAF8" w:rsidR="004C1DFF" w:rsidRPr="0009398B" w:rsidRDefault="004C1DFF" w:rsidP="000333CA">
      <w:pPr>
        <w:jc w:val="both"/>
        <w:rPr>
          <w:rFonts w:ascii="Calibri" w:hAnsi="Calibri" w:cs="Calibri"/>
          <w:color w:val="000000"/>
        </w:rPr>
      </w:pPr>
      <w:r w:rsidRPr="0009398B">
        <w:rPr>
          <w:lang w:bidi="es-US"/>
        </w:rPr>
        <w:t xml:space="preserve">La División de Bienestar Infantil y Familiar (Division of Child and Family Wellbeing, DCFW) continuó desarrollando el Tablero de salud conductual infantil como herramienta para identificar la necesidad de intervenciones específicas que podrían reducir </w:t>
      </w:r>
      <w:r w:rsidR="00205A41" w:rsidRPr="0009398B">
        <w:rPr>
          <w:lang w:bidi="es-US"/>
        </w:rPr>
        <w:t>las admisiones a</w:t>
      </w:r>
      <w:r w:rsidRPr="0009398B">
        <w:rPr>
          <w:lang w:bidi="es-US"/>
        </w:rPr>
        <w:t xml:space="preserve"> centros de tratamiento residencial psiquiátrico (psychiatric residential treatment facilities, PRTF). En colaboración con el equipo de datos del NCDHHS y la Universidad de Carolina del Norte (University of North Carolina, UNC) en Chapel Hill, la DCFW ha finalizado las medidas que proporcionan datos fundamentales para informar la acción. Con el lanzamiento del </w:t>
      </w:r>
      <w:hyperlink r:id="rId24" w:history="1">
        <w:r w:rsidRPr="0009398B">
          <w:rPr>
            <w:rStyle w:val="Hyperlink"/>
            <w:rFonts w:eastAsia="Times New Roman"/>
            <w:szCs w:val="22"/>
            <w:lang w:bidi="es-US"/>
          </w:rPr>
          <w:t>tablero del plan estratégico</w:t>
        </w:r>
      </w:hyperlink>
      <w:r w:rsidRPr="0009398B">
        <w:rPr>
          <w:lang w:bidi="es-US"/>
        </w:rPr>
        <w:t xml:space="preserve"> de la DMH/DD/SUS que incluye medidas de los PRTF, la DCFW </w:t>
      </w:r>
      <w:r w:rsidRPr="0009398B">
        <w:rPr>
          <w:lang w:bidi="es-US"/>
        </w:rPr>
        <w:lastRenderedPageBreak/>
        <w:t xml:space="preserve">está trabajando ahora </w:t>
      </w:r>
      <w:r w:rsidRPr="0009398B">
        <w:rPr>
          <w:rFonts w:ascii="Calibri" w:eastAsia="Calibri" w:hAnsi="Calibri" w:cs="Calibri"/>
          <w:color w:val="000000"/>
          <w:lang w:bidi="es-US"/>
        </w:rPr>
        <w:t>para determinar el sitio más apropiado para informar de estas medidas para evitar la duplicación y facilitar el acceso a la información.</w:t>
      </w:r>
    </w:p>
    <w:p w14:paraId="0D5F038A" w14:textId="245A5030" w:rsidR="004C1DFF" w:rsidRPr="0009398B" w:rsidRDefault="004C1DFF" w:rsidP="003B74CA">
      <w:pPr>
        <w:spacing w:line="360" w:lineRule="auto"/>
        <w:jc w:val="both"/>
        <w:rPr>
          <w:color w:val="000000"/>
        </w:rPr>
      </w:pPr>
      <w:r w:rsidRPr="0009398B">
        <w:rPr>
          <w:lang w:bidi="es-US"/>
        </w:rPr>
        <w:t xml:space="preserve">Los servicios de derivación proporcionan a las personas con discapacidad la asistencia que necesitan para permanecer en su hogar si ese es el entorno que eligen. Estos servicios son específicamente fundamentales para los niños y los jóvenes, quienes se ven afectados negativamente por las colocaciones fuera del hogar familiar, pues se reduce el contacto con sus familias, sus hogares, sus comunidades, sus mascotas, sus amigos, sus posesiones, sus rutinas y sus entornos escolares. La DCFW aumentó el acceso a los servicios comunitarios que apoyan la derivación de las instituciones utilizando la subvención de expansión del Sistema de Atención para aumentar el acceso </w:t>
      </w:r>
      <w:r w:rsidR="00C1101E" w:rsidRPr="0009398B">
        <w:rPr>
          <w:lang w:bidi="es-US"/>
        </w:rPr>
        <w:t>a servicios</w:t>
      </w:r>
      <w:r w:rsidR="00470C56" w:rsidRPr="0009398B">
        <w:rPr>
          <w:lang w:bidi="es-US"/>
        </w:rPr>
        <w:t xml:space="preserve"> de apoyo</w:t>
      </w:r>
      <w:r w:rsidR="00C1101E" w:rsidRPr="0009398B">
        <w:rPr>
          <w:lang w:bidi="es-US"/>
        </w:rPr>
        <w:t xml:space="preserve"> </w:t>
      </w:r>
      <w:r w:rsidR="004A0124" w:rsidRPr="0009398B">
        <w:rPr>
          <w:lang w:bidi="es-US"/>
        </w:rPr>
        <w:t>integral de alta fidelidad (</w:t>
      </w:r>
      <w:r w:rsidRPr="0009398B">
        <w:rPr>
          <w:lang w:bidi="es-US"/>
        </w:rPr>
        <w:t>High Fidelity Wraparound</w:t>
      </w:r>
      <w:r w:rsidR="004A0124" w:rsidRPr="0009398B">
        <w:rPr>
          <w:lang w:bidi="es-US"/>
        </w:rPr>
        <w:t>)</w:t>
      </w:r>
      <w:r w:rsidRPr="0009398B">
        <w:rPr>
          <w:lang w:bidi="es-US"/>
        </w:rPr>
        <w:t>. Este servicio está ya disponible en el 80</w:t>
      </w:r>
      <w:r w:rsidR="003B74CA" w:rsidRPr="0009398B">
        <w:rPr>
          <w:lang w:bidi="es-US"/>
        </w:rPr>
        <w:t xml:space="preserve"> %</w:t>
      </w:r>
      <w:r w:rsidRPr="0009398B">
        <w:rPr>
          <w:lang w:bidi="es-US"/>
        </w:rPr>
        <w:t xml:space="preserve"> de los condados del estado, lo que supone un aumento del 60</w:t>
      </w:r>
      <w:r w:rsidR="003B74CA" w:rsidRPr="0009398B">
        <w:rPr>
          <w:lang w:bidi="es-US"/>
        </w:rPr>
        <w:t xml:space="preserve"> %</w:t>
      </w:r>
      <w:r w:rsidRPr="0009398B">
        <w:rPr>
          <w:lang w:bidi="es-US"/>
        </w:rPr>
        <w:t xml:space="preserve"> en los últimos tres años. Los centros financiados más recientemente ya aceptan miembros, y el estado ha conseguido movilizar fondos federales para apoyar la prestación de servicios.</w:t>
      </w:r>
    </w:p>
    <w:p w14:paraId="11177A8F" w14:textId="77777777" w:rsidR="004C1DFF" w:rsidRPr="0009398B" w:rsidRDefault="004C1DFF" w:rsidP="000333CA">
      <w:pPr>
        <w:jc w:val="both"/>
      </w:pPr>
      <w:r w:rsidRPr="0009398B">
        <w:rPr>
          <w:lang w:bidi="es-US"/>
        </w:rPr>
        <w:t xml:space="preserve">La DCFW sigue trabajando para ampliar el acceso desde el punto de vista geográfico y aumentar la concientización de la comunidad sobre el servicio en los condados en los que ya existe. </w:t>
      </w:r>
    </w:p>
    <w:p w14:paraId="4CC586FB" w14:textId="3D1160FE" w:rsidR="004C1DFF" w:rsidRPr="0009398B" w:rsidRDefault="004C1DFF" w:rsidP="000333CA">
      <w:pPr>
        <w:jc w:val="both"/>
      </w:pPr>
      <w:r w:rsidRPr="0009398B">
        <w:rPr>
          <w:lang w:bidi="es-US"/>
        </w:rPr>
        <w:t>A lo largo de este trimestre, la DMH/DD/SUS y Olmstead/TCL continuaron apoyando a las</w:t>
      </w:r>
      <w:r w:rsidRPr="0009398B">
        <w:rPr>
          <w:color w:val="212529"/>
          <w:shd w:val="clear" w:color="auto" w:fill="FFFFFF"/>
          <w:lang w:bidi="es-US"/>
        </w:rPr>
        <w:t xml:space="preserve"> </w:t>
      </w:r>
      <w:r w:rsidR="00FA6EEB" w:rsidRPr="0009398B">
        <w:rPr>
          <w:color w:val="212529"/>
          <w:shd w:val="clear" w:color="auto" w:fill="FFFFFF"/>
          <w:lang w:bidi="es-US"/>
        </w:rPr>
        <w:t>Local Management Entities / Managed Care Organizations (LME/MCO) - Entidades Locales de Administración / Organizaciones de Asistencia Administrada (LME/MCO)</w:t>
      </w:r>
      <w:r w:rsidRPr="0009398B">
        <w:rPr>
          <w:lang w:bidi="es-US"/>
        </w:rPr>
        <w:t xml:space="preserve"> en la realización de acercamientos a personas </w:t>
      </w:r>
      <w:r w:rsidR="008338A4" w:rsidRPr="0009398B">
        <w:rPr>
          <w:lang w:bidi="es-US"/>
        </w:rPr>
        <w:t>que</w:t>
      </w:r>
      <w:r w:rsidR="00EA4E07" w:rsidRPr="0009398B">
        <w:rPr>
          <w:lang w:bidi="es-US"/>
        </w:rPr>
        <w:t xml:space="preserve"> viven en hogare</w:t>
      </w:r>
      <w:r w:rsidRPr="0009398B">
        <w:rPr>
          <w:lang w:bidi="es-US"/>
        </w:rPr>
        <w:t xml:space="preserve">s para adultos y hospitales psiquiátricos estatales. El NCDHHS y las LME/MCO llevaron a cabo una comunidad de práctica (Community of Practice, </w:t>
      </w:r>
      <w:proofErr w:type="spellStart"/>
      <w:r w:rsidRPr="0009398B">
        <w:rPr>
          <w:lang w:bidi="es-US"/>
        </w:rPr>
        <w:t>CoP</w:t>
      </w:r>
      <w:proofErr w:type="spellEnd"/>
      <w:r w:rsidRPr="0009398B">
        <w:rPr>
          <w:lang w:bidi="es-US"/>
        </w:rPr>
        <w:t>) mensual de Transici</w:t>
      </w:r>
      <w:r w:rsidR="0045147C" w:rsidRPr="0009398B">
        <w:rPr>
          <w:lang w:bidi="es-US"/>
        </w:rPr>
        <w:t>ones</w:t>
      </w:r>
      <w:r w:rsidRPr="0009398B">
        <w:rPr>
          <w:lang w:bidi="es-US"/>
        </w:rPr>
        <w:t xml:space="preserve"> a la Vida Comunitaria (Transitions to Community </w:t>
      </w:r>
      <w:proofErr w:type="gramStart"/>
      <w:r w:rsidRPr="0009398B">
        <w:rPr>
          <w:lang w:bidi="es-US"/>
        </w:rPr>
        <w:t>Living</w:t>
      </w:r>
      <w:proofErr w:type="gramEnd"/>
      <w:r w:rsidRPr="0009398B">
        <w:rPr>
          <w:lang w:bidi="es-US"/>
        </w:rPr>
        <w:t>, TCL) que comenzó en octubre de 2024, con un total de 71 </w:t>
      </w:r>
      <w:r w:rsidR="00B57165" w:rsidRPr="0009398B">
        <w:rPr>
          <w:lang w:bidi="es-US"/>
        </w:rPr>
        <w:t xml:space="preserve">participantes </w:t>
      </w:r>
      <w:r w:rsidRPr="0009398B">
        <w:rPr>
          <w:lang w:bidi="es-US"/>
        </w:rPr>
        <w:t>durante el periodo de tres meses. El NCDHHS encuestó a los pares de la iniciativa TCL para determinar el interés en formar la CoP y la logística de cada sesión</w:t>
      </w:r>
      <w:r w:rsidRPr="0009398B">
        <w:rPr>
          <w:rFonts w:ascii="Calibri" w:eastAsia="Calibri" w:hAnsi="Calibri" w:cs="Calibri"/>
          <w:sz w:val="20"/>
          <w:szCs w:val="20"/>
          <w:lang w:bidi="es-US"/>
        </w:rPr>
        <w:t xml:space="preserve">. </w:t>
      </w:r>
      <w:r w:rsidRPr="0009398B">
        <w:rPr>
          <w:lang w:bidi="es-US"/>
        </w:rPr>
        <w:t xml:space="preserve">Desafortunadamente, la asistencia se vio afectada por los esfuerzos de recuperación del huracán Helene en el oeste de Carolina del Norte, donde los pares de la TCL asistieron diariamente. La participación en la CoP mensual es voluntaria, aunque entre los beneficios previstos se incluyen los siguientes: 1) aumentar los conocimientos de los pares, 2) mejorar las habilidades relacionadas con el trabajo, 3) crear una red más amplia para los pares y 4) ampliar el conocimiento de los pares sobre recursos y herramientas para apoyar a las personas que participan en la TCL. Esta estrategia se ha completado, ya que la CoP pasó a estar dirigida por pares. </w:t>
      </w:r>
    </w:p>
    <w:p w14:paraId="50D82C84" w14:textId="11BF1A4D" w:rsidR="004C1DFF" w:rsidRPr="0009398B" w:rsidRDefault="004C1DFF" w:rsidP="000333CA">
      <w:pPr>
        <w:jc w:val="both"/>
        <w:rPr>
          <w:rFonts w:ascii="Calibri" w:hAnsi="Calibri" w:cs="Calibri"/>
        </w:rPr>
      </w:pPr>
      <w:r w:rsidRPr="0009398B">
        <w:rPr>
          <w:lang w:bidi="es-US"/>
        </w:rPr>
        <w:t xml:space="preserve">Con el fin de facilitar transiciones efectivas desde sus centros, la División de Centros </w:t>
      </w:r>
      <w:r w:rsidR="00AD72BC" w:rsidRPr="0009398B">
        <w:rPr>
          <w:lang w:bidi="es-US"/>
        </w:rPr>
        <w:t xml:space="preserve">de Salud </w:t>
      </w:r>
      <w:r w:rsidRPr="0009398B">
        <w:rPr>
          <w:lang w:bidi="es-US"/>
        </w:rPr>
        <w:t xml:space="preserve">Dirigidos por el Estado (Division of State Operated Healthcare </w:t>
      </w:r>
      <w:proofErr w:type="spellStart"/>
      <w:r w:rsidRPr="0009398B">
        <w:rPr>
          <w:lang w:bidi="es-US"/>
        </w:rPr>
        <w:t>Facilities</w:t>
      </w:r>
      <w:proofErr w:type="spellEnd"/>
      <w:r w:rsidRPr="0009398B">
        <w:rPr>
          <w:lang w:bidi="es-US"/>
        </w:rPr>
        <w:t xml:space="preserve">, DSOHF) impartió </w:t>
      </w:r>
      <w:r w:rsidR="005B54F5" w:rsidRPr="0009398B">
        <w:rPr>
          <w:lang w:bidi="es-US"/>
        </w:rPr>
        <w:t xml:space="preserve">capacitación </w:t>
      </w:r>
      <w:r w:rsidRPr="0009398B">
        <w:rPr>
          <w:lang w:bidi="es-US"/>
        </w:rPr>
        <w:t>en este proceso a todos los miembros del personal involucrados en las transiciones a la comunidad, y también proporcionó orientación para apoyar los objetivos de las personas con un memorando de acuerdo (Memorandum of Agreement, MOA). Todo nuevo miembro del personal recibe</w:t>
      </w:r>
      <w:r w:rsidR="009E1AD8" w:rsidRPr="0009398B">
        <w:rPr>
          <w:lang w:bidi="es-US"/>
        </w:rPr>
        <w:t xml:space="preserve"> capacitación</w:t>
      </w:r>
      <w:r w:rsidRPr="0009398B">
        <w:rPr>
          <w:lang w:bidi="es-US"/>
        </w:rPr>
        <w:t xml:space="preserve"> específica para apoyar a las personas de la comunidad. Como este proceso de</w:t>
      </w:r>
      <w:r w:rsidR="00790569" w:rsidRPr="0009398B">
        <w:rPr>
          <w:lang w:bidi="es-US"/>
        </w:rPr>
        <w:t xml:space="preserve"> capacitación</w:t>
      </w:r>
      <w:r w:rsidRPr="0009398B">
        <w:rPr>
          <w:lang w:bidi="es-US"/>
        </w:rPr>
        <w:t xml:space="preserve"> se ha integrado en el procedimiento rutinario, esta estrategia ya se considera completa. </w:t>
      </w:r>
    </w:p>
    <w:p w14:paraId="10309BEC" w14:textId="6B60AE9F" w:rsidR="004C1DFF" w:rsidRPr="0009398B" w:rsidRDefault="004C1DFF" w:rsidP="000333CA">
      <w:pPr>
        <w:jc w:val="both"/>
        <w:rPr>
          <w:rFonts w:ascii="Calibri" w:hAnsi="Calibri" w:cs="Calibri"/>
          <w:sz w:val="20"/>
          <w:szCs w:val="20"/>
        </w:rPr>
      </w:pPr>
      <w:r w:rsidRPr="0009398B">
        <w:rPr>
          <w:lang w:bidi="es-US"/>
        </w:rPr>
        <w:lastRenderedPageBreak/>
        <w:t xml:space="preserve">Ampliando sus esfuerzos para abordar la transición en todas las poblaciones, la DSOHF sigue colaborando activamente con el </w:t>
      </w:r>
      <w:r w:rsidR="009C4FF9" w:rsidRPr="0009398B">
        <w:rPr>
          <w:lang w:bidi="es-US"/>
        </w:rPr>
        <w:t xml:space="preserve">Instituto </w:t>
      </w:r>
      <w:r w:rsidR="00BD7EC0" w:rsidRPr="0009398B">
        <w:rPr>
          <w:lang w:bidi="es-US"/>
        </w:rPr>
        <w:t>para Discapacidades del Desarrollo de la Universidad de Carolina del Norte (</w:t>
      </w:r>
      <w:r w:rsidRPr="0009398B">
        <w:rPr>
          <w:lang w:bidi="es-US"/>
        </w:rPr>
        <w:t xml:space="preserve">Institute </w:t>
      </w:r>
      <w:proofErr w:type="spellStart"/>
      <w:r w:rsidRPr="0009398B">
        <w:rPr>
          <w:lang w:bidi="es-US"/>
        </w:rPr>
        <w:t>for</w:t>
      </w:r>
      <w:proofErr w:type="spellEnd"/>
      <w:r w:rsidRPr="0009398B">
        <w:rPr>
          <w:lang w:bidi="es-US"/>
        </w:rPr>
        <w:t xml:space="preserve"> </w:t>
      </w:r>
      <w:proofErr w:type="spellStart"/>
      <w:r w:rsidRPr="0009398B">
        <w:rPr>
          <w:lang w:bidi="es-US"/>
        </w:rPr>
        <w:t>Developmental</w:t>
      </w:r>
      <w:proofErr w:type="spellEnd"/>
      <w:r w:rsidRPr="0009398B">
        <w:rPr>
          <w:lang w:bidi="es-US"/>
        </w:rPr>
        <w:t xml:space="preserve"> </w:t>
      </w:r>
      <w:proofErr w:type="spellStart"/>
      <w:r w:rsidRPr="0009398B">
        <w:rPr>
          <w:lang w:bidi="es-US"/>
        </w:rPr>
        <w:t>Disabilities</w:t>
      </w:r>
      <w:proofErr w:type="spellEnd"/>
      <w:r w:rsidR="00BD7EC0" w:rsidRPr="0009398B">
        <w:rPr>
          <w:lang w:bidi="es-US"/>
        </w:rPr>
        <w:t>,</w:t>
      </w:r>
      <w:r w:rsidRPr="0009398B">
        <w:rPr>
          <w:lang w:bidi="es-US"/>
        </w:rPr>
        <w:t xml:space="preserve"> UNC</w:t>
      </w:r>
      <w:r w:rsidR="00BD7EC0" w:rsidRPr="0009398B">
        <w:rPr>
          <w:lang w:bidi="es-US"/>
        </w:rPr>
        <w:t>)</w:t>
      </w:r>
      <w:r w:rsidRPr="0009398B">
        <w:rPr>
          <w:lang w:bidi="es-US"/>
        </w:rPr>
        <w:t xml:space="preserve">, que está contratado para recopilar información y evaluar el nivel de interés en las transiciones de las personas sin un MOA. En este trimestre, la DSOHF continuó esta sólida asociación de colaboración celebrando reuniones mensuales y </w:t>
      </w:r>
      <w:r w:rsidRPr="0009398B">
        <w:rPr>
          <w:rFonts w:ascii="Calibri" w:eastAsia="Calibri" w:hAnsi="Calibri" w:cs="Calibri"/>
          <w:lang w:bidi="es-US"/>
        </w:rPr>
        <w:t>centrándose en el desarrollo de una propuesta y materiales para reclutar a miembros de la comunidad y a personas con experiencia vivida para participar en el consejo asesor, lo que incluye redactar la presentación para la primera sesión de orientación del Consejo Asesor programada para el 17 de enero de 2025. La UNC ha comenzado a investigar y a redactar materiales para preparar los comentarios iniciales de la encuesta sobre el interés de la comunidad, diseñada para que las personas con discapacidad y los responsables legales identifiquen su interés en buscar opciones de apoyo de la comunidad o en aprender más sobre estas. Esta preparación incluye elementos visuales, el uso de la tecnología y la búsqueda de formas adicionales de adaptar la encuesta para que sea accesible.</w:t>
      </w:r>
      <w:r w:rsidRPr="0009398B">
        <w:rPr>
          <w:rFonts w:ascii="Calibri" w:eastAsia="Calibri" w:hAnsi="Calibri" w:cs="Calibri"/>
          <w:sz w:val="20"/>
          <w:szCs w:val="20"/>
          <w:lang w:bidi="es-US"/>
        </w:rPr>
        <w:t xml:space="preserve"> </w:t>
      </w:r>
    </w:p>
    <w:p w14:paraId="33DA69A7" w14:textId="6F0CA871" w:rsidR="004C1DFF" w:rsidRPr="0009398B" w:rsidRDefault="004C1DFF" w:rsidP="000333CA">
      <w:pPr>
        <w:jc w:val="both"/>
        <w:rPr>
          <w:rFonts w:ascii="Calibri" w:hAnsi="Calibri" w:cs="Calibri"/>
        </w:rPr>
      </w:pPr>
      <w:r w:rsidRPr="0009398B">
        <w:rPr>
          <w:lang w:bidi="es-US"/>
        </w:rPr>
        <w:t>En asociación con Money Follows the Person (MFP) y UNC Cares, la DSOHF ofrece una serie detallada sobre tutela y toma de decisiones con apoyo para responsables legales y el personal con el fin de que las personas que viven en Centros Estatales de Desarrollo (State Developmental Centers, SDC) tengan más opciones. Estas sesiones de</w:t>
      </w:r>
      <w:r w:rsidR="00790569" w:rsidRPr="0009398B">
        <w:rPr>
          <w:lang w:bidi="es-US"/>
        </w:rPr>
        <w:t xml:space="preserve"> capacitación</w:t>
      </w:r>
      <w:r w:rsidRPr="0009398B">
        <w:rPr>
          <w:lang w:bidi="es-US"/>
        </w:rPr>
        <w:t xml:space="preserve"> se imparten trimestralmente y se complementan con jornadas de oficina para que el apoyo y la participación sean más individualizados. En este trimestre, </w:t>
      </w:r>
      <w:r w:rsidRPr="0009398B">
        <w:rPr>
          <w:rFonts w:ascii="Calibri" w:eastAsia="Calibri" w:hAnsi="Calibri" w:cs="Calibri"/>
          <w:lang w:bidi="es-US"/>
        </w:rPr>
        <w:t>UNC Cares llevó a cabo una sesión de jornada de oficina destinada a la dignidad del riesgo para el personal de los SDC el 31 de octubre de 2024, y se pusieron en práctica escenarios sobre la dignidad del riesgo para implementar y promover la comprensión. UNC Cares también redactó materiales para una</w:t>
      </w:r>
      <w:r w:rsidR="00790569" w:rsidRPr="0009398B">
        <w:rPr>
          <w:lang w:bidi="es-US"/>
        </w:rPr>
        <w:t xml:space="preserve"> capacitación</w:t>
      </w:r>
      <w:r w:rsidRPr="0009398B">
        <w:rPr>
          <w:rFonts w:ascii="Calibri" w:eastAsia="Calibri" w:hAnsi="Calibri" w:cs="Calibri"/>
          <w:lang w:bidi="es-US"/>
        </w:rPr>
        <w:t xml:space="preserve"> para responsables legales de los SDC sobre la dignidad del riesgo que se realizó a principios de enero de 2025.</w:t>
      </w:r>
    </w:p>
    <w:p w14:paraId="5D13F8FE" w14:textId="3E69E9D0" w:rsidR="004C1DFF" w:rsidRPr="0009398B" w:rsidRDefault="004C1DFF" w:rsidP="000333CA">
      <w:pPr>
        <w:jc w:val="both"/>
        <w:rPr>
          <w:rFonts w:ascii="Arial" w:hAnsi="Arial" w:cs="Arial"/>
          <w:sz w:val="20"/>
          <w:szCs w:val="20"/>
        </w:rPr>
      </w:pPr>
      <w:r w:rsidRPr="0009398B">
        <w:rPr>
          <w:lang w:bidi="es-US"/>
        </w:rPr>
        <w:t xml:space="preserve">La DSOHF sigue elaborando estrategias para lograr una mayor participación de los tutores y fomentar formatos más interactivos. También </w:t>
      </w:r>
      <w:r w:rsidRPr="0009398B">
        <w:rPr>
          <w:rFonts w:ascii="Calibri" w:eastAsia="Calibri" w:hAnsi="Calibri" w:cs="Calibri"/>
          <w:shd w:val="clear" w:color="auto" w:fill="FFFFFF"/>
          <w:lang w:bidi="es-US"/>
        </w:rPr>
        <w:t>colaboró con el MFP en la ampliación de una serie de cursos de</w:t>
      </w:r>
      <w:r w:rsidR="00790569" w:rsidRPr="0009398B">
        <w:rPr>
          <w:lang w:bidi="es-US"/>
        </w:rPr>
        <w:t xml:space="preserve"> capacitación</w:t>
      </w:r>
      <w:r w:rsidRPr="0009398B">
        <w:rPr>
          <w:rFonts w:ascii="Calibri" w:eastAsia="Calibri" w:hAnsi="Calibri" w:cs="Calibri"/>
          <w:shd w:val="clear" w:color="auto" w:fill="FFFFFF"/>
          <w:lang w:bidi="es-US"/>
        </w:rPr>
        <w:t xml:space="preserve"> clínica sobre temas fundamentales de prevención de situaciones de crisis e </w:t>
      </w:r>
      <w:r w:rsidRPr="0009398B">
        <w:rPr>
          <w:shd w:val="clear" w:color="auto" w:fill="FFFFFF"/>
          <w:lang w:bidi="es-US"/>
        </w:rPr>
        <w:t>intervención en ellas. Entre los participantes había proveedores privados, personal de agencias comunitarias y miembros de equipos internos. Los comentarios sobre la serie de</w:t>
      </w:r>
      <w:r w:rsidR="00790569" w:rsidRPr="0009398B">
        <w:rPr>
          <w:lang w:bidi="es-US"/>
        </w:rPr>
        <w:t xml:space="preserve"> capacitación</w:t>
      </w:r>
      <w:r w:rsidRPr="0009398B">
        <w:rPr>
          <w:shd w:val="clear" w:color="auto" w:fill="FFFFFF"/>
          <w:lang w:bidi="es-US"/>
        </w:rPr>
        <w:t xml:space="preserve"> fueron abrumadoramente positivos. Como ha concluido, la DSOHF está determinando el enfoque más valioso para futuras iniciativas. Además, </w:t>
      </w:r>
      <w:r w:rsidRPr="0009398B">
        <w:rPr>
          <w:lang w:bidi="es-US"/>
        </w:rPr>
        <w:t xml:space="preserve">brindó oportunidades educativas a </w:t>
      </w:r>
      <w:r w:rsidR="005D5890" w:rsidRPr="0009398B">
        <w:rPr>
          <w:lang w:bidi="es-US"/>
        </w:rPr>
        <w:t>las personas que viven</w:t>
      </w:r>
      <w:r w:rsidR="00B20BEB" w:rsidRPr="0009398B">
        <w:rPr>
          <w:lang w:bidi="es-US"/>
        </w:rPr>
        <w:t xml:space="preserve"> en</w:t>
      </w:r>
      <w:r w:rsidRPr="0009398B">
        <w:rPr>
          <w:lang w:bidi="es-US"/>
        </w:rPr>
        <w:t xml:space="preserve"> los SDC, los responsables legales (legally responsible persons, LRP) y el personal sobre las opciones de apoyo comunitario para promover la elección informada a través de una serie de</w:t>
      </w:r>
      <w:r w:rsidR="00790569" w:rsidRPr="0009398B">
        <w:rPr>
          <w:lang w:bidi="es-US"/>
        </w:rPr>
        <w:t xml:space="preserve"> capacitación</w:t>
      </w:r>
      <w:r w:rsidRPr="0009398B">
        <w:rPr>
          <w:lang w:bidi="es-US"/>
        </w:rPr>
        <w:t xml:space="preserve"> trimestral. Las áreas temáticas de la</w:t>
      </w:r>
      <w:r w:rsidR="00790569" w:rsidRPr="0009398B">
        <w:rPr>
          <w:lang w:bidi="es-US"/>
        </w:rPr>
        <w:t xml:space="preserve"> capacitación</w:t>
      </w:r>
      <w:r w:rsidRPr="0009398B">
        <w:rPr>
          <w:lang w:bidi="es-US"/>
        </w:rPr>
        <w:t xml:space="preserve"> incluían la tutela, las opciones de </w:t>
      </w:r>
      <w:r w:rsidR="00F31BCF" w:rsidRPr="0009398B">
        <w:rPr>
          <w:lang w:bidi="es-US"/>
        </w:rPr>
        <w:t>vivienda</w:t>
      </w:r>
      <w:r w:rsidRPr="0009398B">
        <w:rPr>
          <w:lang w:bidi="es-US"/>
        </w:rPr>
        <w:t>, los recursos comunitarios, el empleo, la experiencia de transición y otros temas considerados relevantes. Esta serie de</w:t>
      </w:r>
      <w:r w:rsidR="00790569" w:rsidRPr="0009398B">
        <w:rPr>
          <w:lang w:bidi="es-US"/>
        </w:rPr>
        <w:t xml:space="preserve"> capacitación</w:t>
      </w:r>
      <w:r w:rsidRPr="0009398B">
        <w:rPr>
          <w:lang w:bidi="es-US"/>
        </w:rPr>
        <w:t xml:space="preserve"> ya ha concluido y esta estrategia también figura como completada.</w:t>
      </w:r>
    </w:p>
    <w:p w14:paraId="6244137E" w14:textId="2FB487C3" w:rsidR="004C1DFF" w:rsidRPr="0009398B" w:rsidRDefault="004C1DFF" w:rsidP="000333CA">
      <w:pPr>
        <w:jc w:val="both"/>
      </w:pPr>
      <w:r w:rsidRPr="0009398B">
        <w:rPr>
          <w:lang w:bidi="es-US"/>
        </w:rPr>
        <w:t>La DSOHF continúa implementando acciones para abordar las necesidades de las personas en un MOA que se enfrentan a obstáculos significativos para la transición. La oficina central de la DSOHF está desarrollando aún más los criterios para elevar las preocupaciones individuales a la dirección de las LME/MCO. La División está analizando más a fondo los datos del MOA para determinar la mejor manera de reducir la duración total de las estadías.</w:t>
      </w:r>
    </w:p>
    <w:p w14:paraId="68ACC634" w14:textId="0493E156" w:rsidR="004C1DFF" w:rsidRPr="0009398B" w:rsidRDefault="004C1DFF" w:rsidP="000333CA">
      <w:pPr>
        <w:jc w:val="both"/>
      </w:pPr>
      <w:r w:rsidRPr="0009398B">
        <w:rPr>
          <w:lang w:bidi="es-US"/>
        </w:rPr>
        <w:t xml:space="preserve">En julio de 2023, el Departamento de Servicios Sociales (Department of Social Services, DSS) de Carolina del Norte se fijó el objetivo </w:t>
      </w:r>
      <w:r w:rsidR="009D3D9A" w:rsidRPr="0009398B">
        <w:rPr>
          <w:lang w:bidi="es-US"/>
        </w:rPr>
        <w:t xml:space="preserve">a cinco años </w:t>
      </w:r>
      <w:r w:rsidRPr="0009398B">
        <w:rPr>
          <w:lang w:bidi="es-US"/>
        </w:rPr>
        <w:t xml:space="preserve">de colocar a más niños de acogida con familiares. </w:t>
      </w:r>
      <w:r w:rsidRPr="0009398B">
        <w:rPr>
          <w:rFonts w:ascii="Calibri" w:eastAsia="Calibri" w:hAnsi="Calibri" w:cs="Calibri"/>
          <w:color w:val="000000"/>
          <w:lang w:bidi="es-US"/>
        </w:rPr>
        <w:t xml:space="preserve">El DSS sigue </w:t>
      </w:r>
      <w:r w:rsidRPr="0009398B">
        <w:rPr>
          <w:rFonts w:ascii="Calibri" w:eastAsia="Calibri" w:hAnsi="Calibri" w:cs="Calibri"/>
          <w:color w:val="000000"/>
          <w:lang w:bidi="es-US"/>
        </w:rPr>
        <w:lastRenderedPageBreak/>
        <w:t xml:space="preserve">estudiando y planificando los cambios legislativos, normativos y de políticas necesarios para implementar normas de concesión de licencias específicas para cuidadores familiares de niños en cuidado de acogida. A partir del 2 de enero de 2025, las agencias de bienestar infantil del condado pueden utilizar un nuevo plan de estudios para las posibles familias de acogida por parentesco con licencia llamado </w:t>
      </w:r>
      <w:r w:rsidR="002A5232" w:rsidRPr="0009398B">
        <w:rPr>
          <w:rFonts w:ascii="Calibri" w:eastAsia="Calibri" w:hAnsi="Calibri" w:cs="Calibri"/>
          <w:color w:val="000000"/>
          <w:lang w:bidi="es-US"/>
        </w:rPr>
        <w:t>Programa Nacional de Formación y Desarrollo (</w:t>
      </w:r>
      <w:r w:rsidRPr="0009398B">
        <w:rPr>
          <w:rFonts w:ascii="Calibri" w:eastAsia="Calibri" w:hAnsi="Calibri" w:cs="Calibri"/>
          <w:color w:val="000000"/>
          <w:lang w:bidi="es-US"/>
        </w:rPr>
        <w:t xml:space="preserve">National Training </w:t>
      </w:r>
      <w:proofErr w:type="spellStart"/>
      <w:r w:rsidRPr="0009398B">
        <w:rPr>
          <w:rFonts w:ascii="Calibri" w:eastAsia="Calibri" w:hAnsi="Calibri" w:cs="Calibri"/>
          <w:color w:val="000000"/>
          <w:lang w:bidi="es-US"/>
        </w:rPr>
        <w:t>Development</w:t>
      </w:r>
      <w:proofErr w:type="spellEnd"/>
      <w:r w:rsidRPr="0009398B">
        <w:rPr>
          <w:rFonts w:ascii="Calibri" w:eastAsia="Calibri" w:hAnsi="Calibri" w:cs="Calibri"/>
          <w:color w:val="000000"/>
          <w:lang w:bidi="es-US"/>
        </w:rPr>
        <w:t xml:space="preserve"> </w:t>
      </w:r>
      <w:proofErr w:type="spellStart"/>
      <w:r w:rsidRPr="0009398B">
        <w:rPr>
          <w:rFonts w:ascii="Calibri" w:eastAsia="Calibri" w:hAnsi="Calibri" w:cs="Calibri"/>
          <w:color w:val="000000"/>
          <w:lang w:bidi="es-US"/>
        </w:rPr>
        <w:t>Curriculum</w:t>
      </w:r>
      <w:proofErr w:type="spellEnd"/>
      <w:r w:rsidR="002A5232" w:rsidRPr="0009398B">
        <w:rPr>
          <w:rFonts w:ascii="Calibri" w:eastAsia="Calibri" w:hAnsi="Calibri" w:cs="Calibri"/>
          <w:color w:val="000000"/>
          <w:lang w:bidi="es-US"/>
        </w:rPr>
        <w:t xml:space="preserve">, </w:t>
      </w:r>
      <w:r w:rsidRPr="0009398B">
        <w:rPr>
          <w:rFonts w:ascii="Calibri" w:eastAsia="Calibri" w:hAnsi="Calibri" w:cs="Calibri"/>
          <w:color w:val="000000"/>
          <w:lang w:bidi="es-US"/>
        </w:rPr>
        <w:t xml:space="preserve">NTDC). Mientras </w:t>
      </w:r>
      <w:proofErr w:type="gramStart"/>
      <w:r w:rsidR="00790569" w:rsidRPr="0009398B">
        <w:rPr>
          <w:rFonts w:ascii="Calibri" w:eastAsia="Calibri" w:hAnsi="Calibri" w:cs="Calibri"/>
          <w:color w:val="000000"/>
          <w:lang w:bidi="es-US"/>
        </w:rPr>
        <w:t>que</w:t>
      </w:r>
      <w:proofErr w:type="gramEnd"/>
      <w:r w:rsidRPr="0009398B">
        <w:rPr>
          <w:rFonts w:ascii="Calibri" w:eastAsia="Calibri" w:hAnsi="Calibri" w:cs="Calibri"/>
          <w:color w:val="000000"/>
          <w:lang w:bidi="es-US"/>
        </w:rPr>
        <w:t xml:space="preserve"> a las posibles familias de acogida, ya sean familiares o terapéuticas, se les exigirán 30 horas de</w:t>
      </w:r>
      <w:r w:rsidR="00790569" w:rsidRPr="0009398B">
        <w:rPr>
          <w:lang w:bidi="es-US"/>
        </w:rPr>
        <w:t xml:space="preserve"> capacitación</w:t>
      </w:r>
      <w:r w:rsidRPr="0009398B">
        <w:rPr>
          <w:rFonts w:ascii="Calibri" w:eastAsia="Calibri" w:hAnsi="Calibri" w:cs="Calibri"/>
          <w:color w:val="000000"/>
          <w:lang w:bidi="es-US"/>
        </w:rPr>
        <w:t xml:space="preserve"> previa al servicio, las horas de</w:t>
      </w:r>
      <w:r w:rsidR="00790569" w:rsidRPr="0009398B">
        <w:rPr>
          <w:lang w:bidi="es-US"/>
        </w:rPr>
        <w:t xml:space="preserve"> capacitación</w:t>
      </w:r>
      <w:r w:rsidRPr="0009398B">
        <w:rPr>
          <w:rFonts w:ascii="Calibri" w:eastAsia="Calibri" w:hAnsi="Calibri" w:cs="Calibri"/>
          <w:color w:val="000000"/>
          <w:lang w:bidi="es-US"/>
        </w:rPr>
        <w:t xml:space="preserve"> previa al servicio para las familias de acogida por parentesco, ya sea por nacimiento, matrimonio o adopción, se reducen a 15 horas.</w:t>
      </w:r>
      <w:r w:rsidRPr="0009398B">
        <w:rPr>
          <w:rFonts w:ascii="Calibri" w:eastAsia="Calibri" w:hAnsi="Calibri" w:cs="Calibri"/>
          <w:color w:val="000000"/>
          <w:sz w:val="20"/>
          <w:szCs w:val="20"/>
          <w:lang w:bidi="es-US"/>
        </w:rPr>
        <w:t xml:space="preserve"> </w:t>
      </w:r>
      <w:r w:rsidRPr="0009398B">
        <w:rPr>
          <w:rFonts w:ascii="Calibri" w:eastAsia="Calibri" w:hAnsi="Calibri" w:cs="Calibri"/>
          <w:color w:val="000000"/>
          <w:shd w:val="clear" w:color="auto" w:fill="FFFFFF"/>
          <w:lang w:bidi="es-US"/>
        </w:rPr>
        <w:t>En noviembre de 2024, había 1,746 niños en hogares que recibían pagos de acogida por parentesco sin licencia</w:t>
      </w:r>
      <w:r w:rsidRPr="0009398B">
        <w:rPr>
          <w:rFonts w:ascii="Calibri" w:eastAsia="Calibri" w:hAnsi="Calibri" w:cs="Calibri"/>
          <w:color w:val="000000"/>
          <w:sz w:val="20"/>
          <w:szCs w:val="20"/>
          <w:shd w:val="clear" w:color="auto" w:fill="FFFFFF"/>
          <w:lang w:bidi="es-US"/>
        </w:rPr>
        <w:t xml:space="preserve">. </w:t>
      </w:r>
      <w:r w:rsidRPr="0009398B">
        <w:rPr>
          <w:lang w:bidi="es-US"/>
        </w:rPr>
        <w:t xml:space="preserve">Además, hay 420 niños en hogares de parientes no consanguíneos sin licencia. El DSS continúa trabajando con el Centro Nacional para el Reclutamiento Diligente (National Center for Diligent Recruitment) para delinear e implementar estrategias de reclutamiento y retención específicas para las familias de acogida por parentesco que apoyarán los objetivos </w:t>
      </w:r>
      <w:r w:rsidR="00D77DD6" w:rsidRPr="0009398B">
        <w:rPr>
          <w:lang w:bidi="es-US"/>
        </w:rPr>
        <w:t xml:space="preserve">a cinco años </w:t>
      </w:r>
      <w:r w:rsidRPr="0009398B">
        <w:rPr>
          <w:lang w:bidi="es-US"/>
        </w:rPr>
        <w:t>de cuidado de parientes de Carolina del Norte. Los datos más recientes (mayo de 2024) indican un movimiento positivo hacia todos los objetivos de parentesco para los niños en cuidado de acogida:</w:t>
      </w:r>
    </w:p>
    <w:p w14:paraId="473C9547" w14:textId="72F746C2" w:rsidR="004C1DFF" w:rsidRPr="0009398B" w:rsidRDefault="004C1DFF" w:rsidP="003B74CA">
      <w:pPr>
        <w:pStyle w:val="ListParagraph"/>
        <w:numPr>
          <w:ilvl w:val="0"/>
          <w:numId w:val="25"/>
        </w:numPr>
        <w:spacing w:line="360" w:lineRule="auto"/>
        <w:jc w:val="both"/>
      </w:pPr>
      <w:r w:rsidRPr="0009398B">
        <w:rPr>
          <w:lang w:bidi="es-US"/>
        </w:rPr>
        <w:t>Mayo de 2024: el 29.64</w:t>
      </w:r>
      <w:r w:rsidR="003B74CA" w:rsidRPr="0009398B">
        <w:rPr>
          <w:lang w:bidi="es-US"/>
        </w:rPr>
        <w:t xml:space="preserve"> %</w:t>
      </w:r>
      <w:r w:rsidRPr="0009398B">
        <w:rPr>
          <w:lang w:bidi="es-US"/>
        </w:rPr>
        <w:t xml:space="preserve"> están colocados con familiares,</w:t>
      </w:r>
      <w:r w:rsidR="0036412F" w:rsidRPr="0009398B">
        <w:rPr>
          <w:lang w:bidi="es-US"/>
        </w:rPr>
        <w:t xml:space="preserve"> </w:t>
      </w:r>
      <w:r w:rsidRPr="0009398B">
        <w:rPr>
          <w:lang w:bidi="es-US"/>
        </w:rPr>
        <w:t>un aumento respecto al 25.57</w:t>
      </w:r>
      <w:r w:rsidR="003B74CA" w:rsidRPr="0009398B">
        <w:rPr>
          <w:lang w:bidi="es-US"/>
        </w:rPr>
        <w:t xml:space="preserve"> %</w:t>
      </w:r>
      <w:r w:rsidRPr="0009398B">
        <w:rPr>
          <w:lang w:bidi="es-US"/>
        </w:rPr>
        <w:t xml:space="preserve"> de febrero de 2022. </w:t>
      </w:r>
    </w:p>
    <w:p w14:paraId="7A379D35" w14:textId="449EE894" w:rsidR="004C1DFF" w:rsidRPr="0009398B" w:rsidRDefault="004C1DFF" w:rsidP="003B74CA">
      <w:pPr>
        <w:pStyle w:val="ListParagraph"/>
        <w:numPr>
          <w:ilvl w:val="0"/>
          <w:numId w:val="25"/>
        </w:numPr>
        <w:spacing w:line="360" w:lineRule="auto"/>
        <w:jc w:val="both"/>
      </w:pPr>
      <w:r w:rsidRPr="0009398B">
        <w:rPr>
          <w:lang w:bidi="es-US"/>
        </w:rPr>
        <w:t>Año fiscal estatal 2023-2024: el 41.31</w:t>
      </w:r>
      <w:r w:rsidR="003B74CA" w:rsidRPr="0009398B">
        <w:rPr>
          <w:lang w:bidi="es-US"/>
        </w:rPr>
        <w:t xml:space="preserve"> %</w:t>
      </w:r>
      <w:r w:rsidRPr="0009398B">
        <w:rPr>
          <w:lang w:bidi="es-US"/>
        </w:rPr>
        <w:t xml:space="preserve"> son colocados inicialmente con familiares, un aumento del 32.11</w:t>
      </w:r>
      <w:r w:rsidR="003B74CA" w:rsidRPr="0009398B">
        <w:rPr>
          <w:lang w:bidi="es-US"/>
        </w:rPr>
        <w:t xml:space="preserve"> %</w:t>
      </w:r>
      <w:r w:rsidRPr="0009398B">
        <w:rPr>
          <w:lang w:bidi="es-US"/>
        </w:rPr>
        <w:t xml:space="preserve"> en el año fiscal estatal 2018-2019.</w:t>
      </w:r>
    </w:p>
    <w:p w14:paraId="4296E0FB" w14:textId="1BFA20A0" w:rsidR="004C1DFF" w:rsidRPr="0009398B" w:rsidRDefault="004C1DFF" w:rsidP="003B74CA">
      <w:pPr>
        <w:pStyle w:val="ListParagraph"/>
        <w:numPr>
          <w:ilvl w:val="0"/>
          <w:numId w:val="25"/>
        </w:numPr>
        <w:spacing w:line="360" w:lineRule="auto"/>
        <w:jc w:val="both"/>
      </w:pPr>
      <w:r w:rsidRPr="0009398B">
        <w:rPr>
          <w:lang w:bidi="es-US"/>
        </w:rPr>
        <w:t>Mayo de 2024: el 3.08</w:t>
      </w:r>
      <w:r w:rsidR="003B74CA" w:rsidRPr="0009398B">
        <w:rPr>
          <w:lang w:bidi="es-US"/>
        </w:rPr>
        <w:t xml:space="preserve"> %</w:t>
      </w:r>
      <w:r w:rsidRPr="0009398B">
        <w:rPr>
          <w:lang w:bidi="es-US"/>
        </w:rPr>
        <w:t xml:space="preserve"> están colocados con familiares con licencia, un aumento respecto al 1.74</w:t>
      </w:r>
      <w:r w:rsidR="003B74CA" w:rsidRPr="0009398B">
        <w:rPr>
          <w:lang w:bidi="es-US"/>
        </w:rPr>
        <w:t xml:space="preserve"> %</w:t>
      </w:r>
      <w:r w:rsidRPr="0009398B">
        <w:rPr>
          <w:lang w:bidi="es-US"/>
        </w:rPr>
        <w:t xml:space="preserve"> de febrero de 2022. </w:t>
      </w:r>
    </w:p>
    <w:p w14:paraId="3141D839" w14:textId="511843FC" w:rsidR="004C1DFF" w:rsidRPr="0009398B" w:rsidRDefault="004C1DFF" w:rsidP="003B74CA">
      <w:pPr>
        <w:pStyle w:val="ListParagraph"/>
        <w:numPr>
          <w:ilvl w:val="0"/>
          <w:numId w:val="25"/>
        </w:numPr>
        <w:spacing w:line="360" w:lineRule="auto"/>
        <w:jc w:val="both"/>
      </w:pPr>
      <w:r w:rsidRPr="0009398B">
        <w:rPr>
          <w:lang w:bidi="es-US"/>
        </w:rPr>
        <w:t>Mayo de 2024: el 10.38</w:t>
      </w:r>
      <w:r w:rsidR="003B74CA" w:rsidRPr="0009398B">
        <w:rPr>
          <w:lang w:bidi="es-US"/>
        </w:rPr>
        <w:t xml:space="preserve"> %</w:t>
      </w:r>
      <w:r w:rsidRPr="0009398B">
        <w:rPr>
          <w:lang w:bidi="es-US"/>
        </w:rPr>
        <w:t xml:space="preserve"> de las colocaciones de cuidado de acogida familiar tienen licencia, un aumento respecto al 6.81</w:t>
      </w:r>
      <w:r w:rsidR="003B74CA" w:rsidRPr="0009398B">
        <w:rPr>
          <w:lang w:bidi="es-US"/>
        </w:rPr>
        <w:t xml:space="preserve"> %</w:t>
      </w:r>
      <w:r w:rsidRPr="0009398B">
        <w:rPr>
          <w:lang w:bidi="es-US"/>
        </w:rPr>
        <w:t xml:space="preserve"> de febrero de 2022. </w:t>
      </w:r>
    </w:p>
    <w:p w14:paraId="4610D0C8" w14:textId="6203B665" w:rsidR="004C1DFF" w:rsidRPr="0009398B" w:rsidRDefault="004C1DFF" w:rsidP="003B74CA">
      <w:pPr>
        <w:pStyle w:val="ListParagraph"/>
        <w:numPr>
          <w:ilvl w:val="0"/>
          <w:numId w:val="25"/>
        </w:numPr>
        <w:spacing w:line="360" w:lineRule="auto"/>
        <w:jc w:val="both"/>
      </w:pPr>
      <w:r w:rsidRPr="0009398B">
        <w:rPr>
          <w:lang w:bidi="es-US"/>
        </w:rPr>
        <w:t>Mayo de 2024: el 5.87</w:t>
      </w:r>
      <w:r w:rsidR="003B74CA" w:rsidRPr="0009398B">
        <w:rPr>
          <w:lang w:bidi="es-US"/>
        </w:rPr>
        <w:t xml:space="preserve"> %</w:t>
      </w:r>
      <w:r w:rsidRPr="0009398B">
        <w:rPr>
          <w:lang w:bidi="es-US"/>
        </w:rPr>
        <w:t xml:space="preserve"> se colocó en entornos de grupo sin tratamiento, un descenso con respecto al 6.06</w:t>
      </w:r>
      <w:r w:rsidR="003B74CA" w:rsidRPr="0009398B">
        <w:rPr>
          <w:lang w:bidi="es-US"/>
        </w:rPr>
        <w:t xml:space="preserve"> %</w:t>
      </w:r>
      <w:r w:rsidRPr="0009398B">
        <w:rPr>
          <w:lang w:bidi="es-US"/>
        </w:rPr>
        <w:t xml:space="preserve"> de febrero de 2022. </w:t>
      </w:r>
    </w:p>
    <w:p w14:paraId="732A21F5" w14:textId="38900996" w:rsidR="004C1DFF" w:rsidRPr="0009398B" w:rsidRDefault="004C1DFF" w:rsidP="000333CA">
      <w:pPr>
        <w:jc w:val="both"/>
      </w:pPr>
      <w:r w:rsidRPr="0009398B">
        <w:rPr>
          <w:lang w:bidi="es-US"/>
        </w:rPr>
        <w:t xml:space="preserve">En este trimestre, la DMH/DD/SUS hizo inversiones significativas en servicios comunitarios de respuesta a crisis diseñados para proporcionar atención con enfoque en el trauma a personas que pueden ser </w:t>
      </w:r>
      <w:r w:rsidR="00D2349B" w:rsidRPr="0009398B">
        <w:rPr>
          <w:lang w:bidi="es-US"/>
        </w:rPr>
        <w:t xml:space="preserve">derivadas </w:t>
      </w:r>
      <w:r w:rsidRPr="0009398B">
        <w:rPr>
          <w:lang w:bidi="es-US"/>
        </w:rPr>
        <w:t xml:space="preserve">de hospitales y entornos de justicia penal. La asociación del NCDHHS con </w:t>
      </w:r>
      <w:hyperlink r:id="rId25" w:tgtFrame="_blank" w:history="1">
        <w:r w:rsidRPr="0009398B">
          <w:rPr>
            <w:rStyle w:val="Hyperlink"/>
            <w:color w:val="284FA1"/>
            <w:szCs w:val="22"/>
            <w:lang w:bidi="es-US"/>
          </w:rPr>
          <w:t>Alliance Health</w:t>
        </w:r>
      </w:hyperlink>
      <w:r w:rsidRPr="0009398B">
        <w:rPr>
          <w:lang w:bidi="es-US"/>
        </w:rPr>
        <w:t xml:space="preserve"> y </w:t>
      </w:r>
      <w:hyperlink r:id="rId26" w:tgtFrame="_blank" w:history="1">
        <w:r w:rsidRPr="0009398B">
          <w:rPr>
            <w:rStyle w:val="Hyperlink"/>
            <w:color w:val="284FA1"/>
            <w:szCs w:val="22"/>
            <w:lang w:bidi="es-US"/>
          </w:rPr>
          <w:t>Promise Resource Network</w:t>
        </w:r>
      </w:hyperlink>
      <w:r w:rsidRPr="0009398B">
        <w:rPr>
          <w:lang w:bidi="es-US"/>
        </w:rPr>
        <w:t xml:space="preserve"> para abrir el nuevo Centro de </w:t>
      </w:r>
      <w:r w:rsidR="005C0E81" w:rsidRPr="0009398B">
        <w:rPr>
          <w:lang w:bidi="es-US"/>
        </w:rPr>
        <w:t>Relevo</w:t>
      </w:r>
      <w:r w:rsidRPr="0009398B">
        <w:rPr>
          <w:lang w:bidi="es-US"/>
        </w:rPr>
        <w:t xml:space="preserve"> </w:t>
      </w:r>
      <w:r w:rsidR="00B243C5" w:rsidRPr="0009398B">
        <w:rPr>
          <w:lang w:bidi="es-US"/>
        </w:rPr>
        <w:t>entre</w:t>
      </w:r>
      <w:r w:rsidRPr="0009398B">
        <w:rPr>
          <w:lang w:bidi="es-US"/>
        </w:rPr>
        <w:t xml:space="preserve"> Pares (Peer Respite Center) en el condado de Wake forma parte de un esfuerzo continuo por transformar el sistema de respuesta a crisis de salud conductual de Carolina del Norte. Los programas de apoyo </w:t>
      </w:r>
      <w:r w:rsidR="00F56FD4" w:rsidRPr="0009398B">
        <w:rPr>
          <w:lang w:bidi="es-US"/>
        </w:rPr>
        <w:t>entre</w:t>
      </w:r>
      <w:r w:rsidRPr="0009398B">
        <w:rPr>
          <w:lang w:bidi="es-US"/>
        </w:rPr>
        <w:t xml:space="preserve"> pares </w:t>
      </w:r>
      <w:r w:rsidRPr="0009398B">
        <w:rPr>
          <w:color w:val="3E3E3E"/>
          <w:lang w:bidi="es-US"/>
        </w:rPr>
        <w:t xml:space="preserve">son una </w:t>
      </w:r>
      <w:r w:rsidRPr="0009398B">
        <w:rPr>
          <w:lang w:bidi="es-US"/>
        </w:rPr>
        <w:t xml:space="preserve">alternativa nocturna voluntaria a los servicios de emergencias o a los entornos de hospitalización para las personas que sufren crisis relacionadas con la salud mental u otras situaciones de alto estrés emocional. Estos programas innovadores ofrecen entornos similares a los del hogar que se encuentran entre las opciones menos restrictivas para el tratamiento de la salud conductual, y ofrecen acceso las 24 horas del día a especialistas en apoyo </w:t>
      </w:r>
      <w:r w:rsidR="00F56FD4" w:rsidRPr="0009398B">
        <w:rPr>
          <w:lang w:bidi="es-US"/>
        </w:rPr>
        <w:t>entre</w:t>
      </w:r>
      <w:r w:rsidRPr="0009398B">
        <w:rPr>
          <w:lang w:bidi="es-US"/>
        </w:rPr>
        <w:t xml:space="preserve"> pares que proporcionan apoyo desde la perspectiva de la experiencia vivida. El NCDHHS también anunció una inversión de $20 millones en transporte no policial, una práctica prometedora para proporcionar transporte con enfoque en el trauma a personas en crisis de salud mental que necesitan ser trasladadas desde el servicio de emergencias de los hospitales hasta centros de </w:t>
      </w:r>
      <w:r w:rsidRPr="0009398B">
        <w:rPr>
          <w:lang w:bidi="es-US"/>
        </w:rPr>
        <w:lastRenderedPageBreak/>
        <w:t xml:space="preserve">tratamiento residenciales. El nuevo programa de transporte pretende despenalizar y </w:t>
      </w:r>
      <w:r w:rsidR="00E604C7">
        <w:rPr>
          <w:lang w:bidi="es-US"/>
        </w:rPr>
        <w:t>quitar el estigma d</w:t>
      </w:r>
      <w:r w:rsidRPr="0009398B">
        <w:rPr>
          <w:lang w:bidi="es-US"/>
        </w:rPr>
        <w:t>el proceso de búsqueda de atención de salud mental. Este programa funcionará inicialmente en dos regiones del estado, que se determinarán mediante un proceso competitivo de solicitud de propuestas (request for proposal, RFP).</w:t>
      </w:r>
    </w:p>
    <w:p w14:paraId="7A10BC2A" w14:textId="08CCA22D" w:rsidR="004C1DFF" w:rsidRPr="0009398B" w:rsidRDefault="004C1DFF" w:rsidP="000333CA">
      <w:pPr>
        <w:pStyle w:val="Heading4"/>
        <w:jc w:val="both"/>
      </w:pPr>
      <w:r w:rsidRPr="0009398B">
        <w:rPr>
          <w:lang w:bidi="es-US"/>
        </w:rPr>
        <w:t xml:space="preserve">Área prioritaria </w:t>
      </w:r>
      <w:r w:rsidR="00F62AE5" w:rsidRPr="0009398B">
        <w:rPr>
          <w:lang w:bidi="es-US"/>
        </w:rPr>
        <w:t>n</w:t>
      </w:r>
      <w:r w:rsidR="0000555E" w:rsidRPr="0009398B">
        <w:rPr>
          <w:lang w:bidi="es-US"/>
        </w:rPr>
        <w:t>úm</w:t>
      </w:r>
      <w:r w:rsidRPr="0009398B">
        <w:rPr>
          <w:lang w:bidi="es-US"/>
        </w:rPr>
        <w:t>. 3: Abordar las brechas en los servicios comunitarios</w:t>
      </w:r>
    </w:p>
    <w:p w14:paraId="6F0F8194" w14:textId="450B0367" w:rsidR="004C1DFF" w:rsidRPr="0009398B" w:rsidRDefault="004C1DFF" w:rsidP="000333CA">
      <w:pPr>
        <w:jc w:val="both"/>
        <w:rPr>
          <w:rFonts w:eastAsia="Times New Roman"/>
          <w:color w:val="000000"/>
        </w:rPr>
      </w:pPr>
      <w:r w:rsidRPr="0009398B">
        <w:rPr>
          <w:lang w:bidi="es-US"/>
        </w:rPr>
        <w:t xml:space="preserve">Las brechas en los servicios se producen cuando un servicio no se encuentra en la oferta, cuando la capacidad del servicio es insuficiente o cuando los servicios son inaccesibles. Para aumentar la oferta de servicios y la accesibilidad, el NCDHHS </w:t>
      </w:r>
      <w:r w:rsidRPr="0009398B">
        <w:rPr>
          <w:rFonts w:eastAsia="Times New Roman"/>
          <w:color w:val="000000"/>
          <w:lang w:bidi="es-US"/>
        </w:rPr>
        <w:t>tiene la intención de ampliar los programas Piloto de Oportunidades Saludables (Healthy Opportunities Pilots) para llevar los servicios de alimentación y transporte a más partes del estado, así como para desarrollar estrategias de promoción y toma de conciencia de los servicios. Durante este trimestre, el Departamento completó el primer paso en esta expansión, ya que obtuvo la autorización de los Centros de Servicios de Medicare y Medicaid (Centers for Medicare &amp; Medicaid Services, CMS); el NCDHHS ahora necesita tener autoridad presupuestaria para financiar la implementación del programa en la Asamblea General.</w:t>
      </w:r>
    </w:p>
    <w:p w14:paraId="40EB0161" w14:textId="2F8C80B6" w:rsidR="004C1DFF" w:rsidRPr="0009398B" w:rsidRDefault="004C1DFF" w:rsidP="000333CA">
      <w:pPr>
        <w:jc w:val="both"/>
      </w:pPr>
      <w:r w:rsidRPr="0009398B">
        <w:rPr>
          <w:lang w:bidi="es-US"/>
        </w:rPr>
        <w:t xml:space="preserve">El Departamento de Servicios para Adultos (Department of Adult Services, DAS) de Carolina del Norte está realizando numerosos esfuerzos para combatir el aislamiento de la población de adultos mayores y promover la conexión con los recursos comunitarios y la equidad digital. En este trimestre se incorporaron todos los navegadores digitales de las </w:t>
      </w:r>
      <w:r w:rsidR="004F3E30" w:rsidRPr="0009398B">
        <w:rPr>
          <w:lang w:bidi="es-US"/>
        </w:rPr>
        <w:t>Agencias de Área sobre Envejecimiento (</w:t>
      </w:r>
      <w:r w:rsidRPr="0009398B">
        <w:rPr>
          <w:lang w:bidi="es-US"/>
        </w:rPr>
        <w:t xml:space="preserve">Area Agencies </w:t>
      </w:r>
      <w:proofErr w:type="spellStart"/>
      <w:r w:rsidRPr="0009398B">
        <w:rPr>
          <w:lang w:bidi="es-US"/>
        </w:rPr>
        <w:t>on</w:t>
      </w:r>
      <w:proofErr w:type="spellEnd"/>
      <w:r w:rsidRPr="0009398B">
        <w:rPr>
          <w:lang w:bidi="es-US"/>
        </w:rPr>
        <w:t xml:space="preserve"> </w:t>
      </w:r>
      <w:proofErr w:type="spellStart"/>
      <w:r w:rsidRPr="0009398B">
        <w:rPr>
          <w:lang w:bidi="es-US"/>
        </w:rPr>
        <w:t>Aging</w:t>
      </w:r>
      <w:proofErr w:type="spellEnd"/>
      <w:r w:rsidR="004F3E30" w:rsidRPr="0009398B">
        <w:rPr>
          <w:lang w:bidi="es-US"/>
        </w:rPr>
        <w:t xml:space="preserve">, </w:t>
      </w:r>
      <w:r w:rsidRPr="0009398B">
        <w:rPr>
          <w:lang w:bidi="es-US"/>
        </w:rPr>
        <w:t>AAA), y en diciembre se impartió una</w:t>
      </w:r>
      <w:r w:rsidR="00790569" w:rsidRPr="0009398B">
        <w:rPr>
          <w:lang w:bidi="es-US"/>
        </w:rPr>
        <w:t xml:space="preserve"> capacitación</w:t>
      </w:r>
      <w:r w:rsidRPr="0009398B">
        <w:rPr>
          <w:lang w:bidi="es-US"/>
        </w:rPr>
        <w:t xml:space="preserve">. El </w:t>
      </w:r>
      <w:r w:rsidR="004F3E30" w:rsidRPr="0009398B">
        <w:rPr>
          <w:lang w:bidi="es-US"/>
        </w:rPr>
        <w:t xml:space="preserve">Centro para </w:t>
      </w:r>
      <w:r w:rsidR="00081EDD" w:rsidRPr="0009398B">
        <w:rPr>
          <w:lang w:bidi="es-US"/>
        </w:rPr>
        <w:t>Salud y Bienestar de Carolina del Norte (</w:t>
      </w:r>
      <w:r w:rsidRPr="0009398B">
        <w:rPr>
          <w:lang w:bidi="es-US"/>
        </w:rPr>
        <w:t>North Carolina Center for Health and Wellness</w:t>
      </w:r>
      <w:r w:rsidR="00081EDD" w:rsidRPr="0009398B">
        <w:rPr>
          <w:lang w:bidi="es-US"/>
        </w:rPr>
        <w:t>)</w:t>
      </w:r>
      <w:r w:rsidRPr="0009398B">
        <w:rPr>
          <w:lang w:bidi="es-US"/>
        </w:rPr>
        <w:t xml:space="preserve"> está elaborando un kit de herramientas llamado </w:t>
      </w:r>
      <w:r w:rsidR="00F538C8" w:rsidRPr="0009398B">
        <w:rPr>
          <w:lang w:bidi="es-US"/>
        </w:rPr>
        <w:t>kit de herramientas para la integración social (</w:t>
      </w:r>
      <w:r w:rsidRPr="0009398B">
        <w:rPr>
          <w:lang w:bidi="es-US"/>
        </w:rPr>
        <w:t>Social Bridging North Carolina Toolkit</w:t>
      </w:r>
      <w:r w:rsidR="00F538C8" w:rsidRPr="0009398B">
        <w:rPr>
          <w:lang w:bidi="es-US"/>
        </w:rPr>
        <w:t>)</w:t>
      </w:r>
      <w:r w:rsidRPr="0009398B">
        <w:rPr>
          <w:lang w:bidi="es-US"/>
        </w:rPr>
        <w:t xml:space="preserve"> para que los recursos y las herramientas puedan reproducirse a escala local.</w:t>
      </w:r>
    </w:p>
    <w:p w14:paraId="12A0AE66" w14:textId="7C51F5A1" w:rsidR="004C1DFF" w:rsidRPr="0009398B" w:rsidRDefault="004C1DFF" w:rsidP="000333CA">
      <w:pPr>
        <w:jc w:val="both"/>
        <w:rPr>
          <w:rFonts w:ascii="Calibri" w:hAnsi="Calibri" w:cs="Calibri"/>
          <w:color w:val="444444"/>
        </w:rPr>
      </w:pPr>
      <w:r w:rsidRPr="0009398B">
        <w:rPr>
          <w:lang w:bidi="es-US"/>
        </w:rPr>
        <w:t xml:space="preserve">El DSS ha avanzado en la implementación del programa de equipos para el tratamiento y la recuperación de la sobriedad (Sobriety Treatment and Recovery Teams, START). Cuando se implementa con fidelidad, este modelo especializado de prestación de servicios de bienestar infantil ha demostrado mejorar los resultados para los niños y las familias afectados por el </w:t>
      </w:r>
      <w:r w:rsidR="005C4A9B" w:rsidRPr="0009398B">
        <w:rPr>
          <w:lang w:bidi="es-US"/>
        </w:rPr>
        <w:t xml:space="preserve">uso </w:t>
      </w:r>
      <w:r w:rsidRPr="0009398B">
        <w:rPr>
          <w:lang w:bidi="es-US"/>
        </w:rPr>
        <w:t>de sustancias por parte de los padres y el maltrato infantil. Cuatro condados contrataron con éxito al DSS para implementar el programa, completaron la</w:t>
      </w:r>
      <w:r w:rsidR="007267F9" w:rsidRPr="0009398B">
        <w:rPr>
          <w:lang w:bidi="es-US"/>
        </w:rPr>
        <w:t xml:space="preserve"> capacitación</w:t>
      </w:r>
      <w:r w:rsidRPr="0009398B">
        <w:rPr>
          <w:lang w:bidi="es-US"/>
        </w:rPr>
        <w:t xml:space="preserve"> y contrataron personal. En la actualidad, todos estos condados están implementando activamente el programa START, se reúnen periódicamente con el proveedor del modelo y reciben asistencia técnica. </w:t>
      </w:r>
      <w:r w:rsidRPr="0009398B">
        <w:rPr>
          <w:rFonts w:ascii="Calibri" w:eastAsia="Calibri" w:hAnsi="Calibri" w:cs="Calibri"/>
          <w:lang w:bidi="es-US"/>
        </w:rPr>
        <w:t xml:space="preserve">Otros dos condados han solicitado la implementación y están revisando los documentos contractuales. La UNC ha elaborado un plan de evaluación para el programa START, que el estado utilizará para evaluar los proyectos piloto. </w:t>
      </w:r>
    </w:p>
    <w:p w14:paraId="394F2F76" w14:textId="16C3B162" w:rsidR="004C1DFF" w:rsidRPr="0009398B" w:rsidRDefault="004C1DFF" w:rsidP="000333CA">
      <w:pPr>
        <w:jc w:val="both"/>
      </w:pPr>
      <w:r w:rsidRPr="0009398B">
        <w:rPr>
          <w:lang w:bidi="es-US"/>
        </w:rPr>
        <w:t xml:space="preserve">La DCFW ha estado trabajando para mejorar la oferta de servicios comunitarios de calidad para niños y jóvenes en todo el estado, y redujo la necesidad de ingresos a PRTF. El Departamento contrató a </w:t>
      </w:r>
      <w:r w:rsidRPr="00DC3D84">
        <w:rPr>
          <w:lang w:bidi="es-US"/>
        </w:rPr>
        <w:t xml:space="preserve">Rapid Resources for Families </w:t>
      </w:r>
      <w:r w:rsidR="007D29F2" w:rsidRPr="00DC3D84">
        <w:rPr>
          <w:lang w:bidi="es-US"/>
        </w:rPr>
        <w:t>(</w:t>
      </w:r>
      <w:r w:rsidR="007D29F2" w:rsidRPr="0065253D">
        <w:rPr>
          <w:i/>
          <w:iCs/>
          <w:lang w:bidi="es-US"/>
        </w:rPr>
        <w:t>Recursos rápidos para familias</w:t>
      </w:r>
      <w:r w:rsidR="007D29F2" w:rsidRPr="00DC3D84">
        <w:rPr>
          <w:lang w:bidi="es-US"/>
        </w:rPr>
        <w:t>)</w:t>
      </w:r>
      <w:r w:rsidR="007D29F2" w:rsidRPr="0009398B">
        <w:rPr>
          <w:lang w:bidi="es-US"/>
        </w:rPr>
        <w:t xml:space="preserve"> </w:t>
      </w:r>
      <w:r w:rsidRPr="0009398B">
        <w:rPr>
          <w:lang w:bidi="es-US"/>
        </w:rPr>
        <w:t xml:space="preserve">para ampliar el acceso a </w:t>
      </w:r>
      <w:r w:rsidR="00492750" w:rsidRPr="0009398B">
        <w:rPr>
          <w:lang w:bidi="es-US"/>
        </w:rPr>
        <w:t xml:space="preserve">tratamiento intensivo alternativo para las familias, de parte de </w:t>
      </w:r>
      <w:r w:rsidRPr="0009398B">
        <w:rPr>
          <w:shd w:val="clear" w:color="auto" w:fill="FFFFFF"/>
          <w:lang w:bidi="es-US"/>
        </w:rPr>
        <w:t>Intensive Alternative Family Treatment</w:t>
      </w:r>
      <w:r w:rsidRPr="0009398B">
        <w:rPr>
          <w:rFonts w:eastAsia="Times New Roman"/>
          <w:color w:val="000000"/>
          <w:lang w:bidi="es-US"/>
        </w:rPr>
        <w:t>®</w:t>
      </w:r>
      <w:r w:rsidRPr="0009398B">
        <w:rPr>
          <w:shd w:val="clear" w:color="auto" w:fill="FFFFFF"/>
          <w:lang w:bidi="es-US"/>
        </w:rPr>
        <w:t xml:space="preserve"> (IAFT)</w:t>
      </w:r>
      <w:r w:rsidRPr="0009398B">
        <w:rPr>
          <w:color w:val="000000"/>
          <w:lang w:bidi="es-US"/>
        </w:rPr>
        <w:t xml:space="preserve">, lo que permite que los niños reciban un tratamiento con enfoque en el trauma en un entorno </w:t>
      </w:r>
      <w:r w:rsidR="00336E77" w:rsidRPr="0009398B">
        <w:rPr>
          <w:color w:val="000000"/>
          <w:lang w:bidi="es-US"/>
        </w:rPr>
        <w:t>basado en el hogar</w:t>
      </w:r>
      <w:r w:rsidRPr="0009398B">
        <w:rPr>
          <w:color w:val="000000"/>
          <w:lang w:bidi="es-US"/>
        </w:rPr>
        <w:t xml:space="preserve">. </w:t>
      </w:r>
      <w:r w:rsidRPr="0009398B">
        <w:rPr>
          <w:shd w:val="clear" w:color="auto" w:fill="FFFFFF"/>
          <w:lang w:bidi="es-US"/>
        </w:rPr>
        <w:t xml:space="preserve">En este trimestre de presentación de informes, </w:t>
      </w:r>
      <w:r w:rsidRPr="0009398B">
        <w:rPr>
          <w:rFonts w:eastAsia="Times New Roman"/>
          <w:color w:val="000000"/>
          <w:lang w:bidi="es-US"/>
        </w:rPr>
        <w:t>se aprobaron nuevas agencias de la IAFT y la</w:t>
      </w:r>
      <w:r w:rsidR="007267F9" w:rsidRPr="0009398B">
        <w:rPr>
          <w:lang w:bidi="es-US"/>
        </w:rPr>
        <w:t xml:space="preserve"> capacitación</w:t>
      </w:r>
      <w:r w:rsidRPr="0009398B">
        <w:rPr>
          <w:rFonts w:eastAsia="Times New Roman"/>
          <w:color w:val="000000"/>
          <w:lang w:bidi="es-US"/>
        </w:rPr>
        <w:t xml:space="preserve"> está en curso. </w:t>
      </w:r>
      <w:r w:rsidRPr="0009398B">
        <w:rPr>
          <w:shd w:val="clear" w:color="auto" w:fill="FFFFFF"/>
          <w:lang w:bidi="es-US"/>
        </w:rPr>
        <w:t xml:space="preserve">Además, </w:t>
      </w:r>
      <w:r w:rsidRPr="0009398B">
        <w:rPr>
          <w:lang w:bidi="es-US"/>
        </w:rPr>
        <w:t xml:space="preserve">la DCFW aumentó la cantidad de condados que participan en la Línea de Acceso a Servicios Psiquiátricos de Carolina del Norte (North Carolina Psychiatry Access Line, NC-PAL), que es una línea de consulta en la que los pediatras y los médicos de atención primaria pueden consultar con psiquiatras para mejorar los diagnósticos y reducir la polifarmacia para los niños, lo que permite a los niños beneficiarse </w:t>
      </w:r>
      <w:r w:rsidRPr="0009398B">
        <w:rPr>
          <w:lang w:bidi="es-US"/>
        </w:rPr>
        <w:lastRenderedPageBreak/>
        <w:t xml:space="preserve">de una sólida experiencia psiquiátrica fuera de un entorno institucional. Con la finalización de las actividades de acercamiento previstas y la incorporación de nuevos condados, esta estrategia ha concluido. Por último, la DCFW ha avanzado en el plan para implementar </w:t>
      </w:r>
      <w:r w:rsidRPr="0009398B">
        <w:rPr>
          <w:rFonts w:eastAsia="Times New Roman"/>
          <w:color w:val="000000"/>
          <w:lang w:bidi="es-US"/>
        </w:rPr>
        <w:t xml:space="preserve">proyectos piloto de servicios de apoyo en centros y en el hogar para los cuidadores de niños con necesidades de salud conductual difíciles. El grupo de trabajo </w:t>
      </w:r>
      <w:r w:rsidR="006E20EE" w:rsidRPr="0009398B">
        <w:rPr>
          <w:rFonts w:eastAsia="Times New Roman"/>
          <w:color w:val="000000"/>
          <w:lang w:bidi="es-US"/>
        </w:rPr>
        <w:t xml:space="preserve">entre divisiones </w:t>
      </w:r>
      <w:r w:rsidRPr="0009398B">
        <w:rPr>
          <w:rFonts w:eastAsia="Times New Roman"/>
          <w:color w:val="000000"/>
          <w:lang w:bidi="es-US"/>
        </w:rPr>
        <w:t xml:space="preserve">concluyó su labor con recomendaciones para adjudicar cuatro proyectos piloto —uno en cada plan personalizado— e implementar iniciativas de políticas de relevo para los próximos años. La DCFW incluye el relevo como un área de enfoque, ya que planea el desarrollo de un centro de excelencia para apoyar varias iniciativas de salud conductual infantil. </w:t>
      </w:r>
    </w:p>
    <w:p w14:paraId="7F82AC22" w14:textId="108934B5" w:rsidR="004C1DFF" w:rsidRPr="0009398B" w:rsidRDefault="004C1DFF" w:rsidP="000333CA">
      <w:pPr>
        <w:jc w:val="both"/>
      </w:pPr>
      <w:r w:rsidRPr="0009398B">
        <w:rPr>
          <w:lang w:bidi="es-US"/>
        </w:rPr>
        <w:t xml:space="preserve">En este trimestre, la DMH/DD/SUS ha avanzado en el fortalecimiento del sistema de </w:t>
      </w:r>
      <w:r w:rsidR="00A17F20" w:rsidRPr="0009398B">
        <w:rPr>
          <w:lang w:bidi="es-US"/>
        </w:rPr>
        <w:t xml:space="preserve">respuesta a </w:t>
      </w:r>
      <w:r w:rsidRPr="0009398B">
        <w:rPr>
          <w:lang w:bidi="es-US"/>
        </w:rPr>
        <w:t xml:space="preserve">crisis de salud conductual, identificado como una prioridad en el </w:t>
      </w:r>
      <w:hyperlink r:id="rId27" w:history="1">
        <w:r w:rsidRPr="0009398B">
          <w:rPr>
            <w:rStyle w:val="Hyperlink"/>
            <w:rFonts w:eastAsia="Times New Roman"/>
            <w:szCs w:val="22"/>
            <w:lang w:bidi="es-US"/>
          </w:rPr>
          <w:t>plan estratégico</w:t>
        </w:r>
      </w:hyperlink>
      <w:r w:rsidRPr="0009398B">
        <w:rPr>
          <w:lang w:bidi="es-US"/>
        </w:rPr>
        <w:t xml:space="preserve"> </w:t>
      </w:r>
      <w:r w:rsidR="00142427" w:rsidRPr="0009398B">
        <w:rPr>
          <w:lang w:bidi="es-US"/>
        </w:rPr>
        <w:t xml:space="preserve">de reciente publicación </w:t>
      </w:r>
      <w:r w:rsidRPr="0009398B">
        <w:rPr>
          <w:lang w:bidi="es-US"/>
        </w:rPr>
        <w:t>del Departamento. Los datos mostrados en el</w:t>
      </w:r>
      <w:hyperlink r:id="rId28" w:history="1">
        <w:r w:rsidRPr="0065253D">
          <w:rPr>
            <w:rStyle w:val="Hyperlink"/>
            <w:rFonts w:eastAsia="Times New Roman"/>
            <w:szCs w:val="22"/>
            <w:u w:val="none"/>
            <w:lang w:bidi="es-US"/>
          </w:rPr>
          <w:t xml:space="preserve"> </w:t>
        </w:r>
        <w:r w:rsidRPr="0009398B">
          <w:rPr>
            <w:rStyle w:val="Hyperlink"/>
            <w:rFonts w:eastAsia="Times New Roman"/>
            <w:szCs w:val="22"/>
            <w:lang w:bidi="es-US"/>
          </w:rPr>
          <w:t>tablero</w:t>
        </w:r>
      </w:hyperlink>
      <w:r w:rsidRPr="0009398B">
        <w:rPr>
          <w:lang w:bidi="es-US"/>
        </w:rPr>
        <w:t xml:space="preserve"> del plan estratégico demuestran un aumento </w:t>
      </w:r>
      <w:r w:rsidR="005659DD" w:rsidRPr="0009398B">
        <w:rPr>
          <w:lang w:bidi="es-US"/>
        </w:rPr>
        <w:t>del uso</w:t>
      </w:r>
      <w:r w:rsidRPr="0009398B">
        <w:rPr>
          <w:lang w:bidi="es-US"/>
        </w:rPr>
        <w:t xml:space="preserve"> de la línea 988 de </w:t>
      </w:r>
      <w:r w:rsidR="00407EFD" w:rsidRPr="0009398B">
        <w:rPr>
          <w:lang w:bidi="es-US"/>
        </w:rPr>
        <w:t>Prevención del Suicidio y Crisis</w:t>
      </w:r>
      <w:r w:rsidRPr="0009398B">
        <w:rPr>
          <w:lang w:bidi="es-US"/>
        </w:rPr>
        <w:t>, un mayor uso de las instalaciones de crisis de salud conductual, como los centros de atención urgente de salud conductual, y una disminución de la cantidad de niños retenidos en un departamento de emergencias o internados en un entorno del DSS.</w:t>
      </w:r>
    </w:p>
    <w:p w14:paraId="53129FF1" w14:textId="5F90984D" w:rsidR="004C1DFF" w:rsidRPr="0009398B" w:rsidRDefault="00F23ADD" w:rsidP="000333CA">
      <w:pPr>
        <w:jc w:val="both"/>
        <w:rPr>
          <w:rFonts w:eastAsia="Times New Roman"/>
          <w:color w:val="000000"/>
        </w:rPr>
      </w:pPr>
      <w:r w:rsidRPr="0009398B">
        <w:rPr>
          <w:shd w:val="clear" w:color="auto" w:fill="FFFFFF"/>
          <w:lang w:bidi="es-US"/>
        </w:rPr>
        <w:t xml:space="preserve">El acceso a los servicios requiere conocer los recursos disponibles. El conocimiento de los recursos debe estar más extendido en las comunidades e ir más allá de las personas, los proveedores y las familias para incluir a los aliados naturales y otras fuentes de apoyo. </w:t>
      </w:r>
      <w:r w:rsidR="004C1DFF" w:rsidRPr="0009398B">
        <w:rPr>
          <w:rFonts w:eastAsia="Times New Roman"/>
          <w:color w:val="000000"/>
          <w:lang w:bidi="es-US"/>
        </w:rPr>
        <w:t xml:space="preserve">Durante este trimestre, Inclusion Connects anunció la disponibilidad de una nueva </w:t>
      </w:r>
      <w:hyperlink r:id="rId29" w:tgtFrame="_blank" w:history="1">
        <w:r w:rsidR="004C1DFF" w:rsidRPr="0009398B">
          <w:rPr>
            <w:rStyle w:val="Hyperlink"/>
            <w:color w:val="284FA1"/>
            <w:szCs w:val="22"/>
            <w:lang w:bidi="es-US"/>
          </w:rPr>
          <w:t>Guía de vida comunitaria</w:t>
        </w:r>
      </w:hyperlink>
      <w:r w:rsidR="004C1DFF" w:rsidRPr="0009398B">
        <w:rPr>
          <w:color w:val="010101"/>
          <w:lang w:bidi="es-US"/>
        </w:rPr>
        <w:t xml:space="preserve">, desarrollada para poner en contacto a las personas con I/DD con los recursos de todo el estado. </w:t>
      </w:r>
    </w:p>
    <w:p w14:paraId="0C8EC9AE" w14:textId="77777777" w:rsidR="004C1DFF" w:rsidRPr="0009398B" w:rsidRDefault="004C1DFF" w:rsidP="000333CA">
      <w:pPr>
        <w:jc w:val="both"/>
        <w:rPr>
          <w:rFonts w:eastAsia="Times New Roman"/>
          <w:color w:val="000000"/>
        </w:rPr>
      </w:pPr>
      <w:r w:rsidRPr="0009398B">
        <w:rPr>
          <w:lang w:bidi="es-US"/>
        </w:rPr>
        <w:t xml:space="preserve">Entre los aspectos más destacados de la guía figuran los siguientes: </w:t>
      </w:r>
    </w:p>
    <w:p w14:paraId="5CDBC59E" w14:textId="7AB7AE63" w:rsidR="004C1DFF" w:rsidRPr="0009398B" w:rsidRDefault="004C1DFF" w:rsidP="000333CA">
      <w:pPr>
        <w:pStyle w:val="ListParagraph"/>
        <w:numPr>
          <w:ilvl w:val="0"/>
          <w:numId w:val="26"/>
        </w:numPr>
        <w:jc w:val="both"/>
      </w:pPr>
      <w:r w:rsidRPr="0009398B">
        <w:rPr>
          <w:lang w:bidi="es-US"/>
        </w:rPr>
        <w:t xml:space="preserve">Vivienda: contactos para refugio inmediato, vivienda </w:t>
      </w:r>
      <w:r w:rsidR="001618B9" w:rsidRPr="0009398B">
        <w:rPr>
          <w:lang w:bidi="es-US"/>
        </w:rPr>
        <w:t xml:space="preserve">a bajo costo </w:t>
      </w:r>
      <w:r w:rsidRPr="0009398B">
        <w:rPr>
          <w:lang w:bidi="es-US"/>
        </w:rPr>
        <w:t>y accesible, opciones de vivienda comunitaria y apoyo a la compra de vivienda.</w:t>
      </w:r>
    </w:p>
    <w:p w14:paraId="76391B15" w14:textId="7FB3E7F3" w:rsidR="004C1DFF" w:rsidRPr="0009398B" w:rsidRDefault="004C1DFF" w:rsidP="000333CA">
      <w:pPr>
        <w:pStyle w:val="ListParagraph"/>
        <w:numPr>
          <w:ilvl w:val="0"/>
          <w:numId w:val="26"/>
        </w:numPr>
        <w:jc w:val="both"/>
      </w:pPr>
      <w:r w:rsidRPr="0009398B">
        <w:rPr>
          <w:lang w:bidi="es-US"/>
        </w:rPr>
        <w:t>Financiación: información sobre ayuda económica, servicios de Medicaid de Carolina del Norte</w:t>
      </w:r>
      <w:r w:rsidR="003E0536" w:rsidRPr="0009398B">
        <w:rPr>
          <w:lang w:bidi="es-US"/>
        </w:rPr>
        <w:t xml:space="preserve"> (NC Medicaid)</w:t>
      </w:r>
      <w:r w:rsidRPr="0009398B">
        <w:rPr>
          <w:lang w:bidi="es-US"/>
        </w:rPr>
        <w:t xml:space="preserve"> y financiación específica para cada zona, así como apoyo para gastos de vivienda y servicios legales.</w:t>
      </w:r>
    </w:p>
    <w:p w14:paraId="07D0E8EC" w14:textId="796EC1C3" w:rsidR="004C1DFF" w:rsidRPr="0009398B" w:rsidRDefault="004C1DFF" w:rsidP="000333CA">
      <w:pPr>
        <w:pStyle w:val="ListParagraph"/>
        <w:numPr>
          <w:ilvl w:val="0"/>
          <w:numId w:val="26"/>
        </w:numPr>
        <w:jc w:val="both"/>
        <w:rPr>
          <w:rFonts w:eastAsia="Times New Roman"/>
          <w:color w:val="000000"/>
        </w:rPr>
      </w:pPr>
      <w:r w:rsidRPr="0009398B">
        <w:rPr>
          <w:lang w:bidi="es-US"/>
        </w:rPr>
        <w:t xml:space="preserve">Apoyos: servicios de </w:t>
      </w:r>
      <w:r w:rsidR="00167495" w:rsidRPr="0009398B">
        <w:rPr>
          <w:lang w:bidi="es-US"/>
        </w:rPr>
        <w:t xml:space="preserve">respuesta a </w:t>
      </w:r>
      <w:r w:rsidRPr="0009398B">
        <w:rPr>
          <w:lang w:bidi="es-US"/>
        </w:rPr>
        <w:t>crisis 24 horas al día, 7 días a la semana, modificaciones para el hogar y recursos relacionados con la alimentación, el transporte, el empleo, el apoyo entre pares y la asistencia a los cuidadores.</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C1DFF" w:rsidRPr="0009398B" w14:paraId="41CB35B6" w14:textId="77777777" w:rsidTr="00C7065F">
        <w:trPr>
          <w:tblCellSpacing w:w="0" w:type="dxa"/>
          <w:jc w:val="center"/>
        </w:trPr>
        <w:tc>
          <w:tcPr>
            <w:tcW w:w="5000" w:type="pct"/>
            <w:hideMark/>
          </w:tcPr>
          <w:p w14:paraId="48495EEB" w14:textId="77777777" w:rsidR="004C1DFF" w:rsidRPr="0009398B" w:rsidRDefault="004C1DFF" w:rsidP="000333CA">
            <w:pPr>
              <w:jc w:val="both"/>
            </w:pPr>
          </w:p>
        </w:tc>
      </w:tr>
    </w:tbl>
    <w:p w14:paraId="27EF7E76" w14:textId="73A9F35D" w:rsidR="004C1DFF" w:rsidRPr="0009398B" w:rsidRDefault="004C1DFF" w:rsidP="000333CA">
      <w:pPr>
        <w:pStyle w:val="Heading4"/>
        <w:jc w:val="both"/>
      </w:pPr>
      <w:r w:rsidRPr="0009398B">
        <w:rPr>
          <w:lang w:bidi="es-US"/>
        </w:rPr>
        <w:t xml:space="preserve">Área prioritaria </w:t>
      </w:r>
      <w:r w:rsidR="00F62AE5" w:rsidRPr="0009398B">
        <w:rPr>
          <w:lang w:bidi="es-US"/>
        </w:rPr>
        <w:t>n</w:t>
      </w:r>
      <w:r w:rsidR="0000555E" w:rsidRPr="0009398B">
        <w:rPr>
          <w:lang w:bidi="es-US"/>
        </w:rPr>
        <w:t>úm</w:t>
      </w:r>
      <w:r w:rsidRPr="0009398B">
        <w:rPr>
          <w:lang w:bidi="es-US"/>
        </w:rPr>
        <w:t>. 4: Aumentar las oportunidades de servicios de transición previa al empleo para jóvenes con discapacidad</w:t>
      </w:r>
      <w:r w:rsidR="008E0B82" w:rsidRPr="0009398B">
        <w:rPr>
          <w:lang w:bidi="es-US"/>
        </w:rPr>
        <w:t>es</w:t>
      </w:r>
      <w:r w:rsidRPr="0009398B">
        <w:rPr>
          <w:lang w:bidi="es-US"/>
        </w:rPr>
        <w:t xml:space="preserve"> y de empleo competitivo integrado para adultos con discapacidad</w:t>
      </w:r>
      <w:r w:rsidR="00743503" w:rsidRPr="0009398B">
        <w:rPr>
          <w:lang w:bidi="es-US"/>
        </w:rPr>
        <w:t>es</w:t>
      </w:r>
    </w:p>
    <w:p w14:paraId="29D33B9A" w14:textId="32CE64CE" w:rsidR="004C1DFF" w:rsidRPr="0009398B" w:rsidRDefault="004C1DFF" w:rsidP="000333CA">
      <w:pPr>
        <w:jc w:val="both"/>
      </w:pPr>
      <w:r w:rsidRPr="0009398B">
        <w:rPr>
          <w:lang w:bidi="es-US"/>
        </w:rPr>
        <w:t>Carolina del Norte implementa varios programas que ofrecen oportunidades de empleo competitivo integrado (competitive, integrated employment, CIE) a personas con discapacidad</w:t>
      </w:r>
      <w:r w:rsidR="00743503" w:rsidRPr="0009398B">
        <w:rPr>
          <w:lang w:bidi="es-US"/>
        </w:rPr>
        <w:t>es</w:t>
      </w:r>
      <w:r w:rsidRPr="0009398B">
        <w:rPr>
          <w:lang w:bidi="es-US"/>
        </w:rPr>
        <w:t>. Los CIE pueden mejorar la autoestima de las personas, fomentar la interacción social y la estabilidad económica, y ayudarles a adquirir un mayor sentido de independencia.</w:t>
      </w:r>
    </w:p>
    <w:p w14:paraId="27A24868" w14:textId="59EA2A19" w:rsidR="004C1DFF" w:rsidRPr="0009398B" w:rsidRDefault="004C1DFF" w:rsidP="000333CA">
      <w:pPr>
        <w:jc w:val="both"/>
        <w:rPr>
          <w:shd w:val="clear" w:color="auto" w:fill="FFFFFF"/>
        </w:rPr>
      </w:pPr>
      <w:r w:rsidRPr="0009398B">
        <w:rPr>
          <w:lang w:bidi="es-US"/>
        </w:rPr>
        <w:t>La División de Empleo e Independencia para Personas con Discapacidad</w:t>
      </w:r>
      <w:r w:rsidR="00B92611" w:rsidRPr="0009398B">
        <w:rPr>
          <w:lang w:bidi="es-US"/>
        </w:rPr>
        <w:t>es</w:t>
      </w:r>
      <w:r w:rsidRPr="0009398B">
        <w:rPr>
          <w:lang w:bidi="es-US"/>
        </w:rPr>
        <w:t xml:space="preserve"> (Division of Employment and Independence for People with Disabilities, EIPD) tiene iniciativas en varias áreas para promover los servicios de transición previa al empleo para los jóvenes. La EIPD colabora con el Departamento de Instrucción Pública (Department of Public Instruction, DPI) de Carolina del Norte y con la dirección de las escuelas locales en la promoción de las mejores prácticas, incluidos los servicios de empleo y transición </w:t>
      </w:r>
      <w:r w:rsidRPr="0009398B">
        <w:rPr>
          <w:lang w:bidi="es-US"/>
        </w:rPr>
        <w:lastRenderedPageBreak/>
        <w:t>para los estudiantes con discapacidad</w:t>
      </w:r>
      <w:r w:rsidR="00297BB1" w:rsidRPr="0009398B">
        <w:rPr>
          <w:lang w:bidi="es-US"/>
        </w:rPr>
        <w:t>es</w:t>
      </w:r>
      <w:r w:rsidRPr="0009398B">
        <w:rPr>
          <w:lang w:bidi="es-US"/>
        </w:rPr>
        <w:t>, tal y como se refleja en su plan de educación individualizado (individualized education plan, IEP). En este trimestre, la EIPD colaboró con el DIP en la planificación de dos módulos de</w:t>
      </w:r>
      <w:r w:rsidR="007267F9" w:rsidRPr="0009398B">
        <w:rPr>
          <w:lang w:bidi="es-US"/>
        </w:rPr>
        <w:t xml:space="preserve"> capacitación</w:t>
      </w:r>
      <w:r w:rsidRPr="0009398B">
        <w:rPr>
          <w:lang w:bidi="es-US"/>
        </w:rPr>
        <w:t xml:space="preserve"> de personal centrados en la planificación de la transición. Además, se debe hacer una corrección del informe de situación del tercer trimestre. En el informe se decía: “En este trimestre, la División y el NCDPI organizaron conjuntamente dos reuniones regionales con el Comité de Jóvenes y Adultos Jóvenes en Edad de Transición (Transition Aged Youth and Young Adult Committee) de NC Collaborative, con equipos de transición de 3 miembros para debatir estrategias de coordinación de recursos con el fin de promover servicios de transición que conduzcan a un empleo integrado competitivo (CIE)”. El informe debería haber dicho: “La EIPD y el NCDPI </w:t>
      </w:r>
      <w:r w:rsidRPr="0009398B">
        <w:rPr>
          <w:shd w:val="clear" w:color="auto" w:fill="FFFFFF"/>
          <w:lang w:bidi="es-US"/>
        </w:rPr>
        <w:t>organizaron dos reuniones regionales a través de su iniciativa conjunta de desarrollo profesional, la NC Collaborative on Secondary Transition. Durante las reuniones regionales, equipos de 3 miembros que representaban a los distritos escolares de las zonas centro y oeste del estado debatieron estrategias para coordinar los recursos destinados a los estudiantes con discapacidad</w:t>
      </w:r>
      <w:r w:rsidR="009C2D86" w:rsidRPr="0009398B">
        <w:rPr>
          <w:shd w:val="clear" w:color="auto" w:fill="FFFFFF"/>
          <w:lang w:bidi="es-US"/>
        </w:rPr>
        <w:t>es</w:t>
      </w:r>
      <w:r w:rsidRPr="0009398B">
        <w:rPr>
          <w:shd w:val="clear" w:color="auto" w:fill="FFFFFF"/>
          <w:lang w:bidi="es-US"/>
        </w:rPr>
        <w:t xml:space="preserve"> de su distrito con el fin de promover servicios de transición que conduzcan a un empleo integrado competitivo (CIE)”.</w:t>
      </w:r>
    </w:p>
    <w:p w14:paraId="17C07FDF" w14:textId="075DEFE8" w:rsidR="004C1DFF" w:rsidRPr="0009398B" w:rsidRDefault="004C1DFF" w:rsidP="000333CA">
      <w:pPr>
        <w:jc w:val="both"/>
      </w:pPr>
      <w:r w:rsidRPr="0009398B">
        <w:rPr>
          <w:lang w:bidi="es-US"/>
        </w:rPr>
        <w:t xml:space="preserve">La EIPD sigue explorando oportunidades para mejorar el acceso a los servicios de transición previa al empleo (Pre-Employment Transition Services, pre-ETS) para estudiantes con discapacidad, y se centra en aumentar la cantidad de proveedores de pre-ETS. En mayo, publicó una solicitud de propuestas para nuevos proveedores; en el cuarto trimestre, se negociaron e implementaron subvenciones para el nuevo programa estandarizado de </w:t>
      </w:r>
      <w:r w:rsidR="00F31AD1" w:rsidRPr="0009398B">
        <w:rPr>
          <w:lang w:bidi="es-US"/>
        </w:rPr>
        <w:t>objetivos</w:t>
      </w:r>
      <w:r w:rsidR="003725DC" w:rsidRPr="0009398B">
        <w:rPr>
          <w:lang w:bidi="es-US"/>
        </w:rPr>
        <w:t xml:space="preserve"> </w:t>
      </w:r>
      <w:r w:rsidRPr="0009398B">
        <w:rPr>
          <w:lang w:bidi="es-US"/>
        </w:rPr>
        <w:t>pre-ETS, que está destinado a aumentar las oportunidades de empleo de los jóvenes con discapacidad</w:t>
      </w:r>
      <w:r w:rsidR="002D2CDA" w:rsidRPr="0009398B">
        <w:rPr>
          <w:lang w:bidi="es-US"/>
        </w:rPr>
        <w:t>es</w:t>
      </w:r>
      <w:r w:rsidRPr="0009398B">
        <w:rPr>
          <w:lang w:bidi="es-US"/>
        </w:rPr>
        <w:t>. En este trimestre entraron en vigor siete nuevos programas. En el marco de negociaciones de nuevos contratos, la EIPD mantiene conversaciones con los proveedores de servicios de pre-ETS sobre los obstáculos a la implementación.</w:t>
      </w:r>
    </w:p>
    <w:p w14:paraId="4EF6496E" w14:textId="4657193C" w:rsidR="004C1DFF" w:rsidRPr="0009398B" w:rsidRDefault="004C1DFF" w:rsidP="000333CA">
      <w:pPr>
        <w:jc w:val="both"/>
        <w:rPr>
          <w:rFonts w:ascii="Calibri" w:eastAsia="Times New Roman" w:hAnsi="Calibri" w:cs="Calibri"/>
          <w:color w:val="000000"/>
          <w:szCs w:val="22"/>
        </w:rPr>
      </w:pPr>
      <w:r w:rsidRPr="0009398B">
        <w:rPr>
          <w:lang w:bidi="es-US"/>
        </w:rPr>
        <w:t xml:space="preserve">A través de una asociación con el Sistema de Universidades Comunitarias de Carolina del Norte, la EIPD recibió fondos generales del estado en la última sesión legislativa para colocar gestores de casos en seis universidades comunitarias para proporcionar servicios de rehabilitación a los estudiantes con I/DD. </w:t>
      </w:r>
      <w:r w:rsidR="00F11893" w:rsidRPr="0009398B">
        <w:rPr>
          <w:lang w:bidi="es-US"/>
        </w:rPr>
        <w:t>Ba</w:t>
      </w:r>
      <w:r w:rsidR="00202A36" w:rsidRPr="0009398B">
        <w:rPr>
          <w:lang w:bidi="es-US"/>
        </w:rPr>
        <w:t xml:space="preserve">jo la dirección </w:t>
      </w:r>
      <w:r w:rsidRPr="0009398B">
        <w:rPr>
          <w:lang w:bidi="es-US"/>
        </w:rPr>
        <w:t xml:space="preserve">de Bridge </w:t>
      </w:r>
      <w:proofErr w:type="spellStart"/>
      <w:r w:rsidRPr="0009398B">
        <w:rPr>
          <w:lang w:bidi="es-US"/>
        </w:rPr>
        <w:t>to</w:t>
      </w:r>
      <w:proofErr w:type="spellEnd"/>
      <w:r w:rsidRPr="0009398B">
        <w:rPr>
          <w:lang w:bidi="es-US"/>
        </w:rPr>
        <w:t xml:space="preserve"> Success, estos gestores de casos prestarán y coordinarán los servicios de rehabilitación profesional a los estudiantes con I/DD. En el cuarto trimestre, se asignó un gestor de casos de Bridge to Success al </w:t>
      </w:r>
      <w:r w:rsidR="00CE2A57" w:rsidRPr="0009398B">
        <w:rPr>
          <w:lang w:bidi="es-US"/>
        </w:rPr>
        <w:t>colegio comunitario de Wilkes (Wilkes Community College)</w:t>
      </w:r>
      <w:r w:rsidRPr="0009398B">
        <w:rPr>
          <w:lang w:bidi="es-US"/>
        </w:rPr>
        <w:t xml:space="preserve">. La EIPD sigue en proceso de contratación para las dos universidades comunitarias restantes </w:t>
      </w:r>
      <w:r w:rsidR="005B4B5C" w:rsidRPr="0009398B">
        <w:rPr>
          <w:lang w:bidi="es-US"/>
        </w:rPr>
        <w:t>bajo el</w:t>
      </w:r>
      <w:r w:rsidRPr="0009398B">
        <w:rPr>
          <w:lang w:bidi="es-US"/>
        </w:rPr>
        <w:t xml:space="preserve"> programa Bridge </w:t>
      </w:r>
      <w:proofErr w:type="spellStart"/>
      <w:r w:rsidRPr="0009398B">
        <w:rPr>
          <w:lang w:bidi="es-US"/>
        </w:rPr>
        <w:t>to</w:t>
      </w:r>
      <w:proofErr w:type="spellEnd"/>
      <w:r w:rsidRPr="0009398B">
        <w:rPr>
          <w:lang w:bidi="es-US"/>
        </w:rPr>
        <w:t xml:space="preserve"> Success: </w:t>
      </w:r>
      <w:r w:rsidR="00E4091A" w:rsidRPr="0009398B">
        <w:rPr>
          <w:lang w:bidi="es-US"/>
        </w:rPr>
        <w:t>colegio comunitario de South Piedmont (South Piedmont Community College)</w:t>
      </w:r>
      <w:r w:rsidRPr="0009398B">
        <w:rPr>
          <w:lang w:bidi="es-US"/>
        </w:rPr>
        <w:t xml:space="preserve"> y </w:t>
      </w:r>
      <w:r w:rsidR="00775CBD" w:rsidRPr="0009398B">
        <w:rPr>
          <w:lang w:bidi="es-US"/>
        </w:rPr>
        <w:t>colegio comunitario técnico de Asheville-Buncombe (Asheville-Buncombe Technical Community College)</w:t>
      </w:r>
      <w:r w:rsidRPr="0009398B">
        <w:rPr>
          <w:lang w:bidi="es-US"/>
        </w:rPr>
        <w:t xml:space="preserve">. El especialista del Programa de I/DD de la EIPD participa en reuniones de liderazgo/comité con la </w:t>
      </w:r>
      <w:r w:rsidR="00097323" w:rsidRPr="0009398B">
        <w:rPr>
          <w:lang w:bidi="es-US"/>
        </w:rPr>
        <w:t>Alianza de Educación</w:t>
      </w:r>
      <w:r w:rsidR="00225633" w:rsidRPr="0009398B">
        <w:rPr>
          <w:lang w:bidi="es-US"/>
        </w:rPr>
        <w:t xml:space="preserve"> Post</w:t>
      </w:r>
      <w:r w:rsidR="00D111C6" w:rsidRPr="0009398B">
        <w:rPr>
          <w:lang w:bidi="es-US"/>
        </w:rPr>
        <w:t>s</w:t>
      </w:r>
      <w:r w:rsidR="00225633" w:rsidRPr="0009398B">
        <w:rPr>
          <w:lang w:bidi="es-US"/>
        </w:rPr>
        <w:t>ecundaria de Carolina del Norte (</w:t>
      </w:r>
      <w:r w:rsidRPr="0009398B">
        <w:rPr>
          <w:lang w:bidi="es-US"/>
        </w:rPr>
        <w:t>NC Post-</w:t>
      </w:r>
      <w:proofErr w:type="spellStart"/>
      <w:r w:rsidRPr="0009398B">
        <w:rPr>
          <w:lang w:bidi="es-US"/>
        </w:rPr>
        <w:t>Secondary</w:t>
      </w:r>
      <w:proofErr w:type="spellEnd"/>
      <w:r w:rsidRPr="0009398B">
        <w:rPr>
          <w:lang w:bidi="es-US"/>
        </w:rPr>
        <w:t xml:space="preserve"> </w:t>
      </w:r>
      <w:proofErr w:type="spellStart"/>
      <w:r w:rsidRPr="0009398B">
        <w:rPr>
          <w:lang w:bidi="es-US"/>
        </w:rPr>
        <w:t>Education</w:t>
      </w:r>
      <w:proofErr w:type="spellEnd"/>
      <w:r w:rsidRPr="0009398B">
        <w:rPr>
          <w:lang w:bidi="es-US"/>
        </w:rPr>
        <w:t xml:space="preserve"> Alliance</w:t>
      </w:r>
      <w:r w:rsidR="00225633" w:rsidRPr="0009398B">
        <w:rPr>
          <w:lang w:bidi="es-US"/>
        </w:rPr>
        <w:t xml:space="preserve">, </w:t>
      </w:r>
      <w:r w:rsidRPr="0009398B">
        <w:rPr>
          <w:lang w:bidi="es-US"/>
        </w:rPr>
        <w:t>NC PSEA) para mantenerse informado de los programas de</w:t>
      </w:r>
      <w:r w:rsidR="007267F9" w:rsidRPr="0009398B">
        <w:rPr>
          <w:lang w:bidi="es-US"/>
        </w:rPr>
        <w:t xml:space="preserve"> capacitación</w:t>
      </w:r>
      <w:r w:rsidRPr="0009398B">
        <w:rPr>
          <w:lang w:bidi="es-US"/>
        </w:rPr>
        <w:t xml:space="preserve"> postsecundaria nuevos y existentes para personas con I/DD.</w:t>
      </w:r>
      <w:r w:rsidRPr="0009398B">
        <w:rPr>
          <w:rFonts w:ascii="Calibri" w:eastAsia="Times New Roman" w:hAnsi="Calibri" w:cs="Calibri"/>
          <w:color w:val="000000"/>
          <w:sz w:val="20"/>
          <w:szCs w:val="20"/>
          <w:lang w:bidi="es-US"/>
        </w:rPr>
        <w:t xml:space="preserve"> </w:t>
      </w:r>
      <w:r w:rsidRPr="0009398B">
        <w:rPr>
          <w:lang w:bidi="es-US"/>
        </w:rPr>
        <w:t xml:space="preserve">La EIPD también colabora estrechamente con Work Together NC para prestar otros servicios de transición a jóvenes y a adultos jóvenes con I/DD. </w:t>
      </w:r>
      <w:r w:rsidRPr="0009398B">
        <w:rPr>
          <w:rFonts w:ascii="Calibri" w:eastAsia="Times New Roman" w:hAnsi="Calibri" w:cs="Calibri"/>
          <w:color w:val="000000"/>
          <w:szCs w:val="22"/>
          <w:lang w:bidi="es-US"/>
        </w:rPr>
        <w:t>El especialista del programa de I/DD de la EIPD participa en reuniones de asesoramiento mensuales con Work Together NC y se asegura de que la información y los recursos pertinentes se compartan en toda la división.</w:t>
      </w:r>
    </w:p>
    <w:p w14:paraId="596BDC5F" w14:textId="62AA2641" w:rsidR="004C1DFF" w:rsidRPr="0009398B" w:rsidRDefault="004C1DFF" w:rsidP="000333CA">
      <w:pPr>
        <w:jc w:val="both"/>
      </w:pPr>
      <w:r w:rsidRPr="0009398B">
        <w:rPr>
          <w:lang w:bidi="es-US"/>
        </w:rPr>
        <w:t xml:space="preserve">La EIPD sigue implementando el proyecto Spark, que proporciona más servicios de apoyo a las personas con I/DD que desean pasar de no trabajar o de trabajar en un entorno no integrado a trabajar en un entorno CIE. Hasta diciembre, el proyecto Spark atendía a 60 personas en tres sitios piloto: Chatham Trades, Tri County Industries y Wake Enterprises. Desde que se iniciaron los servicios, cinco personas consiguieron empleo. El proyecto Spark de Carolina del Norte ahora está en Facebook para compartir </w:t>
      </w:r>
      <w:r w:rsidRPr="0009398B">
        <w:rPr>
          <w:lang w:bidi="es-US"/>
        </w:rPr>
        <w:lastRenderedPageBreak/>
        <w:t xml:space="preserve">historias de éxito, destacar los apoyos disponibles y proporcionar información sobre noticias y eventos. El sitio de Facebook se lanzó en octubre de 2024. </w:t>
      </w:r>
    </w:p>
    <w:p w14:paraId="19F2196E" w14:textId="53AF28F7" w:rsidR="004C1DFF" w:rsidRPr="0009398B" w:rsidRDefault="004C1DFF" w:rsidP="003B74CA">
      <w:pPr>
        <w:spacing w:line="360" w:lineRule="auto"/>
        <w:jc w:val="both"/>
        <w:rPr>
          <w:rFonts w:ascii="Calibri" w:eastAsia="Times New Roman" w:hAnsi="Calibri" w:cs="Calibri"/>
          <w:color w:val="000000"/>
        </w:rPr>
      </w:pPr>
      <w:r w:rsidRPr="0009398B">
        <w:rPr>
          <w:lang w:bidi="es-US"/>
        </w:rPr>
        <w:t>El acceso a los servicios de empleo depende de que la EIPD cuente con la</w:t>
      </w:r>
      <w:r w:rsidR="007267F9" w:rsidRPr="0009398B">
        <w:rPr>
          <w:lang w:bidi="es-US"/>
        </w:rPr>
        <w:t xml:space="preserve"> capacitación</w:t>
      </w:r>
      <w:r w:rsidRPr="0009398B">
        <w:rPr>
          <w:lang w:bidi="es-US"/>
        </w:rPr>
        <w:t xml:space="preserve"> y los recursos adecuados. En un esfuerzo por atraer y mantener consejeros de rehabilitación profesional, la EIPD ha estado trabajando estrechamente con Recursos Humanos (RR. HH.). En diciembre, </w:t>
      </w:r>
      <w:r w:rsidRPr="0009398B">
        <w:rPr>
          <w:rFonts w:ascii="Calibri" w:eastAsia="Times New Roman" w:hAnsi="Calibri" w:cs="Calibri"/>
          <w:color w:val="000000"/>
          <w:lang w:bidi="es-US"/>
        </w:rPr>
        <w:t>RR. HH. informó que la tasa total de vacantes de la EIPD era del 20.47</w:t>
      </w:r>
      <w:r w:rsidR="003B74CA" w:rsidRPr="0009398B">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 xml:space="preserve"> y la de consejeros de rehabilitación del 22.8</w:t>
      </w:r>
      <w:r w:rsidR="003B74CA" w:rsidRPr="0009398B">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 Estas cifras reflejan una mejora de más del 10</w:t>
      </w:r>
      <w:r w:rsidR="003B74CA" w:rsidRPr="0009398B">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 xml:space="preserve"> en cuanto a consejeros con respecto a hace un año. Los esfuerzos realizados hasta la fecha, incluida una bonificación por inscripción para consejeros, han contribuido significativamente a la contratación. Se sigue trabajando en esta estrategia con el objetivo de alcanzar una tasa de vacantes del 15</w:t>
      </w:r>
      <w:r w:rsidR="003B74CA" w:rsidRPr="0009398B">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 xml:space="preserve"> para los consejeros y en general. </w:t>
      </w:r>
    </w:p>
    <w:p w14:paraId="77C66088" w14:textId="5D723688" w:rsidR="004C1DFF" w:rsidRPr="0009398B" w:rsidRDefault="004C1DFF" w:rsidP="000333CA">
      <w:pPr>
        <w:jc w:val="both"/>
        <w:rPr>
          <w:rFonts w:ascii="Calibri" w:eastAsia="Times New Roman" w:hAnsi="Calibri" w:cs="Calibri"/>
          <w:color w:val="000000"/>
        </w:rPr>
      </w:pPr>
      <w:r w:rsidRPr="0009398B">
        <w:rPr>
          <w:shd w:val="clear" w:color="auto" w:fill="FAFAFA"/>
          <w:lang w:bidi="es-US"/>
        </w:rPr>
        <w:t xml:space="preserve">El uso de tecnología </w:t>
      </w:r>
      <w:proofErr w:type="spellStart"/>
      <w:r w:rsidR="003B74CA" w:rsidRPr="0009398B">
        <w:rPr>
          <w:shd w:val="clear" w:color="auto" w:fill="FAFAFA"/>
          <w:lang w:bidi="es-US"/>
        </w:rPr>
        <w:t>asistiva</w:t>
      </w:r>
      <w:proofErr w:type="spellEnd"/>
      <w:r w:rsidRPr="0009398B">
        <w:rPr>
          <w:shd w:val="clear" w:color="auto" w:fill="FAFAFA"/>
          <w:lang w:bidi="es-US"/>
        </w:rPr>
        <w:t xml:space="preserve"> (</w:t>
      </w:r>
      <w:proofErr w:type="spellStart"/>
      <w:r w:rsidRPr="0009398B">
        <w:rPr>
          <w:shd w:val="clear" w:color="auto" w:fill="FAFAFA"/>
          <w:lang w:bidi="es-US"/>
        </w:rPr>
        <w:t>assistive</w:t>
      </w:r>
      <w:proofErr w:type="spellEnd"/>
      <w:r w:rsidRPr="0009398B">
        <w:rPr>
          <w:shd w:val="clear" w:color="auto" w:fill="FAFAFA"/>
          <w:lang w:bidi="es-US"/>
        </w:rPr>
        <w:t xml:space="preserve"> </w:t>
      </w:r>
      <w:proofErr w:type="spellStart"/>
      <w:r w:rsidRPr="0009398B">
        <w:rPr>
          <w:shd w:val="clear" w:color="auto" w:fill="FAFAFA"/>
          <w:lang w:bidi="es-US"/>
        </w:rPr>
        <w:t>technology</w:t>
      </w:r>
      <w:proofErr w:type="spellEnd"/>
      <w:r w:rsidRPr="0009398B">
        <w:rPr>
          <w:shd w:val="clear" w:color="auto" w:fill="FAFAFA"/>
          <w:lang w:bidi="es-US"/>
        </w:rPr>
        <w:t>, AT) en el lugar de trabajo puede ayudar a las personas con discapacidad a desarrollar todo su potencial.</w:t>
      </w:r>
      <w:r w:rsidRPr="0009398B">
        <w:rPr>
          <w:rFonts w:eastAsia="Times New Roman"/>
          <w:lang w:bidi="es-US"/>
        </w:rPr>
        <w:t xml:space="preserve"> En este trimestre, el Programa de Tecnología </w:t>
      </w:r>
      <w:proofErr w:type="spellStart"/>
      <w:r w:rsidR="00A62DC6" w:rsidRPr="0009398B">
        <w:rPr>
          <w:rFonts w:eastAsia="Times New Roman"/>
          <w:lang w:bidi="es-US"/>
        </w:rPr>
        <w:t>Asistiva</w:t>
      </w:r>
      <w:proofErr w:type="spellEnd"/>
      <w:r w:rsidRPr="0009398B">
        <w:rPr>
          <w:rFonts w:eastAsia="Times New Roman"/>
          <w:lang w:bidi="es-US"/>
        </w:rPr>
        <w:t xml:space="preserve"> de Carolina del Norte (NC Assistive Technology Program, NCATP) organizó la exposición anual de AT: “Breaking Boundaries: Empowering Lives” (</w:t>
      </w:r>
      <w:r w:rsidRPr="0065253D">
        <w:rPr>
          <w:rFonts w:eastAsia="Times New Roman"/>
          <w:i/>
          <w:iCs/>
          <w:lang w:bidi="es-US"/>
        </w:rPr>
        <w:t>Rompemos barreras, mejoramos vidas</w:t>
      </w:r>
      <w:r w:rsidRPr="0009398B">
        <w:rPr>
          <w:rFonts w:eastAsia="Times New Roman"/>
          <w:lang w:bidi="es-US"/>
        </w:rPr>
        <w:t>) con un total de 740 </w:t>
      </w:r>
      <w:r w:rsidR="00B57165" w:rsidRPr="0009398B">
        <w:rPr>
          <w:rFonts w:eastAsia="Times New Roman"/>
          <w:lang w:bidi="es-US"/>
        </w:rPr>
        <w:t xml:space="preserve">participantes </w:t>
      </w:r>
      <w:r w:rsidRPr="0009398B">
        <w:rPr>
          <w:rFonts w:eastAsia="Times New Roman"/>
          <w:lang w:bidi="es-US"/>
        </w:rPr>
        <w:t>y 45 </w:t>
      </w:r>
      <w:r w:rsidR="00B57165" w:rsidRPr="0009398B">
        <w:rPr>
          <w:rFonts w:eastAsia="Times New Roman"/>
          <w:lang w:bidi="es-US"/>
        </w:rPr>
        <w:t xml:space="preserve">presentadores </w:t>
      </w:r>
      <w:r w:rsidRPr="0009398B">
        <w:rPr>
          <w:rFonts w:eastAsia="Times New Roman"/>
          <w:lang w:bidi="es-US"/>
        </w:rPr>
        <w:t>de AT en el sitio. El NCATP participó en una serie de oportunidades de aprendizaje adicionales, que incluyó lo siguiente: una presentación al personal de la EIPD, los padres, las personas y los socios de la comunidad que trabajan con Inclusion Works en el uso y el beneficio de la AT para personas con I/DD que están en transición al lugar de trabajo; la organización de una</w:t>
      </w:r>
      <w:r w:rsidR="007267F9" w:rsidRPr="0009398B">
        <w:rPr>
          <w:lang w:bidi="es-US"/>
        </w:rPr>
        <w:t xml:space="preserve"> capacitación</w:t>
      </w:r>
      <w:r w:rsidRPr="0009398B">
        <w:rPr>
          <w:rFonts w:eastAsia="Times New Roman"/>
          <w:lang w:bidi="es-US"/>
        </w:rPr>
        <w:t xml:space="preserve"> en Innovación, independencia y ética en Morganton el 22 de noviembre, a la que asistieron más de 30 profesionales que trabajan con personas con I/DD en toda la región oeste; una presentación en la asociación NAMI de Carolina del Norte sobre AT en la transición (incluidas aplicaciones y herramientas de </w:t>
      </w:r>
      <w:r w:rsidR="006713DA" w:rsidRPr="0009398B">
        <w:rPr>
          <w:rFonts w:eastAsia="Times New Roman"/>
          <w:lang w:bidi="es-US"/>
        </w:rPr>
        <w:t>inteligen</w:t>
      </w:r>
      <w:r w:rsidR="00A0169E" w:rsidRPr="0009398B">
        <w:rPr>
          <w:rFonts w:eastAsia="Times New Roman"/>
          <w:lang w:bidi="es-US"/>
        </w:rPr>
        <w:t xml:space="preserve">cia artificial, </w:t>
      </w:r>
      <w:r w:rsidRPr="0009398B">
        <w:rPr>
          <w:rFonts w:eastAsia="Times New Roman"/>
          <w:lang w:bidi="es-US"/>
        </w:rPr>
        <w:t xml:space="preserve">IA) para personas con limitaciones funcionales que son resultado de discapacidades de salud mental; y una presentación en la reunión de gerentes estatales de la EIPD sobre IA y herramientas de AT y la implementación de IA en el campo de la tecnología </w:t>
      </w:r>
      <w:proofErr w:type="spellStart"/>
      <w:r w:rsidR="00A0169E" w:rsidRPr="0009398B">
        <w:rPr>
          <w:rFonts w:eastAsia="Times New Roman"/>
          <w:lang w:bidi="es-US"/>
        </w:rPr>
        <w:t>asist</w:t>
      </w:r>
      <w:r w:rsidR="00EF5DEF" w:rsidRPr="0009398B">
        <w:rPr>
          <w:rFonts w:eastAsia="Times New Roman"/>
          <w:lang w:bidi="es-US"/>
        </w:rPr>
        <w:t>iva</w:t>
      </w:r>
      <w:proofErr w:type="spellEnd"/>
      <w:r w:rsidRPr="0009398B">
        <w:rPr>
          <w:rFonts w:eastAsia="Times New Roman"/>
          <w:lang w:bidi="es-US"/>
        </w:rPr>
        <w:t xml:space="preserve">. </w:t>
      </w:r>
      <w:r w:rsidRPr="0009398B">
        <w:rPr>
          <w:rFonts w:ascii="Calibri" w:eastAsia="Times New Roman" w:hAnsi="Calibri" w:cs="Calibri"/>
          <w:color w:val="000000"/>
          <w:lang w:bidi="es-US"/>
        </w:rPr>
        <w:t xml:space="preserve">En diciembre, los clientes y el personal del </w:t>
      </w:r>
      <w:r w:rsidR="00EF5DEF" w:rsidRPr="0009398B">
        <w:rPr>
          <w:rFonts w:ascii="Calibri" w:eastAsia="Times New Roman" w:hAnsi="Calibri" w:cs="Calibri"/>
          <w:color w:val="000000"/>
          <w:lang w:bidi="es-US"/>
        </w:rPr>
        <w:t>p</w:t>
      </w:r>
      <w:r w:rsidRPr="0009398B">
        <w:rPr>
          <w:rFonts w:ascii="Calibri" w:eastAsia="Times New Roman" w:hAnsi="Calibri" w:cs="Calibri"/>
          <w:color w:val="000000"/>
          <w:lang w:bidi="es-US"/>
        </w:rPr>
        <w:t>rograma de</w:t>
      </w:r>
      <w:r w:rsidR="00EF5DEF" w:rsidRPr="0009398B">
        <w:rPr>
          <w:rFonts w:ascii="Calibri" w:eastAsia="Times New Roman" w:hAnsi="Calibri" w:cs="Calibri"/>
          <w:color w:val="000000"/>
          <w:lang w:bidi="es-US"/>
        </w:rPr>
        <w:t xml:space="preserve"> Oportunidades de</w:t>
      </w:r>
      <w:r w:rsidRPr="0009398B">
        <w:rPr>
          <w:rFonts w:ascii="Calibri" w:eastAsia="Times New Roman" w:hAnsi="Calibri" w:cs="Calibri"/>
          <w:color w:val="000000"/>
          <w:lang w:bidi="es-US"/>
        </w:rPr>
        <w:t xml:space="preserve"> Caldwell </w:t>
      </w:r>
      <w:r w:rsidR="002F06A2" w:rsidRPr="0009398B">
        <w:rPr>
          <w:rFonts w:ascii="Calibri" w:eastAsia="Times New Roman" w:hAnsi="Calibri" w:cs="Calibri"/>
          <w:color w:val="000000"/>
          <w:lang w:bidi="es-US"/>
        </w:rPr>
        <w:t xml:space="preserve">(Caldwell </w:t>
      </w:r>
      <w:proofErr w:type="spellStart"/>
      <w:r w:rsidR="002F06A2" w:rsidRPr="0009398B">
        <w:rPr>
          <w:rFonts w:ascii="Calibri" w:eastAsia="Times New Roman" w:hAnsi="Calibri" w:cs="Calibri"/>
          <w:color w:val="000000"/>
          <w:lang w:bidi="es-US"/>
        </w:rPr>
        <w:t>Opportunities</w:t>
      </w:r>
      <w:proofErr w:type="spellEnd"/>
      <w:r w:rsidR="002F06A2" w:rsidRPr="0009398B">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 xml:space="preserve">visitaron el Centro de AT del NCATP de Morganton para explorar opciones de tecnología </w:t>
      </w:r>
      <w:proofErr w:type="spellStart"/>
      <w:r w:rsidR="00EF5DEF" w:rsidRPr="0009398B">
        <w:rPr>
          <w:rFonts w:ascii="Calibri" w:eastAsia="Times New Roman" w:hAnsi="Calibri" w:cs="Calibri"/>
          <w:color w:val="000000"/>
          <w:lang w:bidi="es-US"/>
        </w:rPr>
        <w:t>asistiva</w:t>
      </w:r>
      <w:proofErr w:type="spellEnd"/>
      <w:r w:rsidRPr="0009398B">
        <w:rPr>
          <w:rFonts w:ascii="Calibri" w:eastAsia="Times New Roman" w:hAnsi="Calibri" w:cs="Calibri"/>
          <w:color w:val="000000"/>
          <w:lang w:bidi="es-US"/>
        </w:rPr>
        <w:t>. Caldwell Opportunities es una organización sin ánimo de lucro dedicada a ofrecer una amplia gama de servicios para adultos con discapacidad</w:t>
      </w:r>
      <w:r w:rsidR="002F06A2" w:rsidRPr="0009398B">
        <w:rPr>
          <w:rFonts w:ascii="Calibri" w:eastAsia="Times New Roman" w:hAnsi="Calibri" w:cs="Calibri"/>
          <w:color w:val="000000"/>
          <w:lang w:bidi="es-US"/>
        </w:rPr>
        <w:t>es</w:t>
      </w:r>
      <w:r w:rsidRPr="0009398B">
        <w:rPr>
          <w:rFonts w:ascii="Calibri" w:eastAsia="Times New Roman" w:hAnsi="Calibri" w:cs="Calibri"/>
          <w:color w:val="000000"/>
          <w:lang w:bidi="es-US"/>
        </w:rPr>
        <w:t xml:space="preserve">. Durante la visita, los participantes asistieron a sesiones informativas sobre la naturaleza de la tecnología </w:t>
      </w:r>
      <w:proofErr w:type="spellStart"/>
      <w:r w:rsidR="001C69B6" w:rsidRPr="0009398B">
        <w:rPr>
          <w:rFonts w:ascii="Calibri" w:eastAsia="Times New Roman" w:hAnsi="Calibri" w:cs="Calibri"/>
          <w:color w:val="000000"/>
          <w:lang w:bidi="es-US"/>
        </w:rPr>
        <w:t>asistiva</w:t>
      </w:r>
      <w:proofErr w:type="spellEnd"/>
      <w:r w:rsidR="003E111C">
        <w:rPr>
          <w:rFonts w:ascii="Calibri" w:eastAsia="Times New Roman" w:hAnsi="Calibri" w:cs="Calibri"/>
          <w:color w:val="000000"/>
          <w:lang w:bidi="es-US"/>
        </w:rPr>
        <w:t xml:space="preserve"> </w:t>
      </w:r>
      <w:r w:rsidRPr="0009398B">
        <w:rPr>
          <w:rFonts w:ascii="Calibri" w:eastAsia="Times New Roman" w:hAnsi="Calibri" w:cs="Calibri"/>
          <w:color w:val="000000"/>
          <w:lang w:bidi="es-US"/>
        </w:rPr>
        <w:t>y su potencial para promover una mayor independencia en diversas tareas. Los clientes expresaron un interés específico por la AT relacionada con la visión, el ocio, la comunicación y las actividades de la vida diaria.</w:t>
      </w:r>
    </w:p>
    <w:p w14:paraId="10723DDE" w14:textId="0A5EAD76" w:rsidR="004C1DFF" w:rsidRPr="0009398B" w:rsidRDefault="004C1DFF" w:rsidP="000333CA">
      <w:pPr>
        <w:jc w:val="both"/>
      </w:pPr>
      <w:r w:rsidRPr="0009398B">
        <w:rPr>
          <w:lang w:bidi="es-US"/>
        </w:rPr>
        <w:t>Durante este trimestre, el NCDHHS anunció que Inclusion Works junto con los socios expertos, Work Together NC y TEACCH, comenzarán a visitar a los proveedores de Carolina del Norte para ofrecer nuevas evaluaciones de empleo y planes de desarrollo profesional para las personas con I/DD que actualmente trabajan en entornos que no son CIE. Estas herramientas ayudarán a las personas a compartir sus habilidades e intereses, y a elaborar un plan personalizado para alcanzar sus objetivos profesionales.</w:t>
      </w:r>
    </w:p>
    <w:p w14:paraId="0FA06DB3" w14:textId="01A2DA4C" w:rsidR="004C1DFF" w:rsidRPr="0009398B" w:rsidRDefault="004C1DFF" w:rsidP="000333CA">
      <w:pPr>
        <w:pStyle w:val="Heading4"/>
        <w:jc w:val="both"/>
      </w:pPr>
      <w:r w:rsidRPr="0065253D">
        <w:rPr>
          <w:highlight w:val="yellow"/>
          <w:lang w:bidi="es-US"/>
        </w:rPr>
        <w:lastRenderedPageBreak/>
        <w:t>Área</w:t>
      </w:r>
      <w:r w:rsidRPr="0009398B">
        <w:rPr>
          <w:lang w:bidi="es-US"/>
        </w:rPr>
        <w:t xml:space="preserve"> prioritaria </w:t>
      </w:r>
      <w:r w:rsidR="00F62AE5" w:rsidRPr="0009398B">
        <w:rPr>
          <w:lang w:bidi="es-US"/>
        </w:rPr>
        <w:t>n</w:t>
      </w:r>
      <w:r w:rsidR="0000555E" w:rsidRPr="0009398B">
        <w:rPr>
          <w:lang w:bidi="es-US"/>
        </w:rPr>
        <w:t>úm</w:t>
      </w:r>
      <w:r w:rsidRPr="0009398B">
        <w:rPr>
          <w:lang w:bidi="es-US"/>
        </w:rPr>
        <w:t>. 5: Reforzar las oportunidades de derivación y transición de personas del sistema de justicia penal que promuevan la permanencia y la reinserción satisfactoria en comunidades inclusivas</w:t>
      </w:r>
    </w:p>
    <w:p w14:paraId="189D2367" w14:textId="5F9D55BF" w:rsidR="004C1DFF" w:rsidRPr="0009398B" w:rsidRDefault="004C1DFF" w:rsidP="000333CA">
      <w:pPr>
        <w:jc w:val="both"/>
        <w:rPr>
          <w:rFonts w:ascii="Calibri" w:eastAsia="Times New Roman" w:hAnsi="Calibri" w:cs="Calibri"/>
          <w:color w:val="000000"/>
          <w:szCs w:val="22"/>
        </w:rPr>
      </w:pPr>
      <w:r w:rsidRPr="0009398B">
        <w:rPr>
          <w:rFonts w:eastAsia="Times New Roman"/>
          <w:color w:val="000000"/>
          <w:szCs w:val="22"/>
          <w:lang w:bidi="es-US"/>
        </w:rPr>
        <w:t xml:space="preserve">En el plan estratégico publicado recientemente, </w:t>
      </w:r>
      <w:bookmarkStart w:id="6" w:name="_Hlk191640051"/>
      <w:r w:rsidRPr="0009398B">
        <w:rPr>
          <w:rFonts w:eastAsia="Times New Roman"/>
          <w:color w:val="000000"/>
          <w:szCs w:val="22"/>
          <w:lang w:bidi="es-US"/>
        </w:rPr>
        <w:t xml:space="preserve">la DMH/DD/SUS </w:t>
      </w:r>
      <w:bookmarkEnd w:id="6"/>
      <w:r w:rsidRPr="0009398B">
        <w:rPr>
          <w:rFonts w:eastAsia="Times New Roman"/>
          <w:color w:val="000000"/>
          <w:szCs w:val="22"/>
          <w:lang w:bidi="es-US"/>
        </w:rPr>
        <w:t>estableció como prioridad clave “</w:t>
      </w:r>
      <w:r w:rsidRPr="0009398B">
        <w:rPr>
          <w:lang w:bidi="es-US"/>
        </w:rPr>
        <w:t xml:space="preserve">ampliar los servicios para las personas en el sistema judicial”. La división creará alternativas al encarcelamiento, aumentará el acceso a tratamientos de salud conductual y desarrollará apoyos para desviar y derivar a más personas del sistema judicial, así como para mantener la estabilidad en el momento de la reinserción. </w:t>
      </w:r>
      <w:r w:rsidRPr="0009398B">
        <w:rPr>
          <w:rFonts w:eastAsia="Times New Roman"/>
          <w:color w:val="000000"/>
          <w:szCs w:val="22"/>
          <w:lang w:bidi="es-US"/>
        </w:rPr>
        <w:t xml:space="preserve">La DMH/DD/SUS hará un seguimiento del éxito de estos esfuerzos en el tablero del plan estratégico </w:t>
      </w:r>
      <w:r w:rsidR="00E21979" w:rsidRPr="0009398B">
        <w:rPr>
          <w:rFonts w:eastAsia="Times New Roman"/>
          <w:color w:val="000000"/>
          <w:szCs w:val="22"/>
          <w:lang w:bidi="es-US"/>
        </w:rPr>
        <w:t>abierto</w:t>
      </w:r>
      <w:r w:rsidR="005E531B" w:rsidRPr="0009398B">
        <w:rPr>
          <w:rFonts w:eastAsia="Times New Roman"/>
          <w:color w:val="000000"/>
          <w:szCs w:val="22"/>
          <w:lang w:bidi="es-US"/>
        </w:rPr>
        <w:t xml:space="preserve"> </w:t>
      </w:r>
      <w:r w:rsidRPr="0009398B">
        <w:rPr>
          <w:rFonts w:eastAsia="Times New Roman"/>
          <w:color w:val="000000"/>
          <w:szCs w:val="22"/>
          <w:lang w:bidi="es-US"/>
        </w:rPr>
        <w:t xml:space="preserve">al público. En la actualidad, la División </w:t>
      </w:r>
      <w:r w:rsidRPr="0009398B">
        <w:rPr>
          <w:rFonts w:ascii="Calibri" w:eastAsia="Times New Roman" w:hAnsi="Calibri" w:cs="Calibri"/>
          <w:color w:val="000000"/>
          <w:szCs w:val="22"/>
          <w:lang w:bidi="es-US"/>
        </w:rPr>
        <w:t xml:space="preserve">está trabajando con el Departamento Correccional para Adultos (Department of Adult Corrections, DAC) para desarrollar programas integrales de reinserción como preparación para el lanzamiento de la exención 1115 de Medicaid. </w:t>
      </w:r>
    </w:p>
    <w:p w14:paraId="5F63E2CF" w14:textId="7E284A49" w:rsidR="004C1DFF" w:rsidRPr="0009398B" w:rsidRDefault="004C1DFF" w:rsidP="000333CA">
      <w:pPr>
        <w:jc w:val="both"/>
        <w:rPr>
          <w:rFonts w:cstheme="minorBidi"/>
        </w:rPr>
      </w:pPr>
      <w:r w:rsidRPr="0009398B">
        <w:rPr>
          <w:rFonts w:eastAsia="Times New Roman"/>
          <w:color w:val="000000"/>
          <w:szCs w:val="22"/>
          <w:lang w:bidi="es-US"/>
        </w:rPr>
        <w:t xml:space="preserve">La DMH/DD/SUS </w:t>
      </w:r>
      <w:r w:rsidRPr="0009398B">
        <w:rPr>
          <w:lang w:bidi="es-US"/>
        </w:rPr>
        <w:t xml:space="preserve">ha concedido un contrato de dos años a la </w:t>
      </w:r>
      <w:r w:rsidR="00DD6D16" w:rsidRPr="0009398B">
        <w:rPr>
          <w:lang w:bidi="es-US"/>
        </w:rPr>
        <w:t xml:space="preserve">Alianza de Defensores de </w:t>
      </w:r>
      <w:r w:rsidR="00B3247B" w:rsidRPr="0009398B">
        <w:rPr>
          <w:lang w:bidi="es-US"/>
        </w:rPr>
        <w:t>la Discapacidad de Carolina del Norte (</w:t>
      </w:r>
      <w:r w:rsidRPr="0009398B">
        <w:rPr>
          <w:lang w:bidi="es-US"/>
        </w:rPr>
        <w:t xml:space="preserve">Alliance of Disability Advocates </w:t>
      </w:r>
      <w:proofErr w:type="spellStart"/>
      <w:r w:rsidRPr="0009398B">
        <w:rPr>
          <w:lang w:bidi="es-US"/>
        </w:rPr>
        <w:t>of</w:t>
      </w:r>
      <w:proofErr w:type="spellEnd"/>
      <w:r w:rsidRPr="0009398B">
        <w:rPr>
          <w:lang w:bidi="es-US"/>
        </w:rPr>
        <w:t xml:space="preserve"> North Carolina</w:t>
      </w:r>
      <w:r w:rsidR="00B3247B" w:rsidRPr="0009398B">
        <w:rPr>
          <w:lang w:bidi="es-US"/>
        </w:rPr>
        <w:t>,</w:t>
      </w:r>
      <w:r w:rsidRPr="0009398B">
        <w:rPr>
          <w:lang w:bidi="es-US"/>
        </w:rPr>
        <w:t xml:space="preserve"> ADANC) para continuar con éxito la transición de personas con I/DD desde el encarcelamiento, ampliando al mismo tiempo la iniciativa para incluir a personas con lesión cerebral traumática. Ahora la División ha asignado fondos para proporcionar a los participantes suministros y recursos fundamentales para apoyar una reinserción exitosa. La División también sigue apoyando los programas comunitarios de tratamiento </w:t>
      </w:r>
      <w:r w:rsidR="003A569A" w:rsidRPr="0009398B">
        <w:rPr>
          <w:lang w:bidi="es-US"/>
        </w:rPr>
        <w:t>contra el</w:t>
      </w:r>
      <w:r w:rsidR="00915E85" w:rsidRPr="0009398B">
        <w:rPr>
          <w:lang w:bidi="es-US"/>
        </w:rPr>
        <w:t xml:space="preserve"> </w:t>
      </w:r>
      <w:r w:rsidR="005C4A9B" w:rsidRPr="0009398B">
        <w:rPr>
          <w:lang w:bidi="es-US"/>
        </w:rPr>
        <w:t>uso</w:t>
      </w:r>
      <w:r w:rsidR="005C4A9B" w:rsidRPr="0009398B" w:rsidDel="005C4A9B">
        <w:rPr>
          <w:lang w:bidi="es-US"/>
        </w:rPr>
        <w:t xml:space="preserve"> </w:t>
      </w:r>
      <w:r w:rsidRPr="0009398B">
        <w:rPr>
          <w:lang w:bidi="es-US"/>
        </w:rPr>
        <w:t xml:space="preserve">de opioides, que proporcionan acceso a medicamentos para el trastorno por </w:t>
      </w:r>
      <w:r w:rsidR="005C4A9B" w:rsidRPr="0009398B">
        <w:rPr>
          <w:lang w:bidi="es-US"/>
        </w:rPr>
        <w:t>uso</w:t>
      </w:r>
      <w:r w:rsidRPr="0009398B">
        <w:rPr>
          <w:lang w:bidi="es-US"/>
        </w:rPr>
        <w:t xml:space="preserve"> de opioides (</w:t>
      </w:r>
      <w:proofErr w:type="spellStart"/>
      <w:r w:rsidRPr="0009398B">
        <w:rPr>
          <w:lang w:bidi="es-US"/>
        </w:rPr>
        <w:t>medication</w:t>
      </w:r>
      <w:proofErr w:type="spellEnd"/>
      <w:r w:rsidRPr="0009398B">
        <w:rPr>
          <w:lang w:bidi="es-US"/>
        </w:rPr>
        <w:t xml:space="preserve"> for opioid use disorder, MOUD) en entornos carcelarios.</w:t>
      </w:r>
    </w:p>
    <w:p w14:paraId="1601087A" w14:textId="7D00D6B9" w:rsidR="004C1DFF" w:rsidRPr="0009398B" w:rsidRDefault="004C1DFF" w:rsidP="000333CA">
      <w:pPr>
        <w:jc w:val="both"/>
        <w:rPr>
          <w:rFonts w:ascii="Calibri" w:eastAsia="Times New Roman" w:hAnsi="Calibri" w:cs="Calibri"/>
          <w:color w:val="000000"/>
        </w:rPr>
      </w:pPr>
      <w:r w:rsidRPr="0009398B">
        <w:rPr>
          <w:lang w:bidi="es-US"/>
        </w:rPr>
        <w:t>La EIPD sigue con su labor de acercamiento a los centros de detención de menores y su participación en estos para ofrecer programas pre-ETS a los jóvenes condenados y apoyar su reinserción en la comunidad mediante la conexión con oportunidades de empleo y</w:t>
      </w:r>
      <w:r w:rsidR="007267F9" w:rsidRPr="0009398B">
        <w:rPr>
          <w:lang w:bidi="es-US"/>
        </w:rPr>
        <w:t xml:space="preserve"> capacitación</w:t>
      </w:r>
      <w:r w:rsidRPr="0009398B">
        <w:rPr>
          <w:lang w:bidi="es-US"/>
        </w:rPr>
        <w:t>.</w:t>
      </w:r>
      <w:r w:rsidRPr="0009398B">
        <w:rPr>
          <w:rFonts w:ascii="Calibri" w:eastAsia="Times New Roman" w:hAnsi="Calibri" w:cs="Calibri"/>
          <w:color w:val="000000"/>
          <w:lang w:bidi="es-US"/>
        </w:rPr>
        <w:t xml:space="preserve"> En este trimestre, la EIPD reanudó los contactos con el Departamento de Instituciones Penitenciarias (Department of Corrections), y los Servicios de Educación Juvenil (Juvenile Education Services) participaron en el evento de coordinación de la colaboración estatal del </w:t>
      </w:r>
      <w:r w:rsidR="0017712D" w:rsidRPr="0009398B">
        <w:rPr>
          <w:rFonts w:ascii="Calibri" w:eastAsia="Times New Roman" w:hAnsi="Calibri" w:cs="Calibri"/>
          <w:color w:val="000000"/>
          <w:lang w:bidi="es-US"/>
        </w:rPr>
        <w:t xml:space="preserve">7 de noviembre de </w:t>
      </w:r>
      <w:r w:rsidRPr="0009398B">
        <w:rPr>
          <w:rFonts w:ascii="Calibri" w:eastAsia="Times New Roman" w:hAnsi="Calibri" w:cs="Calibri"/>
          <w:color w:val="000000"/>
          <w:lang w:bidi="es-US"/>
        </w:rPr>
        <w:t xml:space="preserve">2024 que organizó el </w:t>
      </w:r>
      <w:r w:rsidR="005269F6" w:rsidRPr="0009398B">
        <w:rPr>
          <w:rFonts w:ascii="Calibri" w:eastAsia="Times New Roman" w:hAnsi="Calibri" w:cs="Calibri"/>
          <w:color w:val="000000"/>
          <w:lang w:bidi="es-US"/>
        </w:rPr>
        <w:t>c</w:t>
      </w:r>
      <w:r w:rsidR="004E7C48" w:rsidRPr="0009398B">
        <w:rPr>
          <w:rFonts w:ascii="Calibri" w:eastAsia="Times New Roman" w:hAnsi="Calibri" w:cs="Calibri"/>
          <w:color w:val="000000"/>
          <w:lang w:bidi="es-US"/>
        </w:rPr>
        <w:t xml:space="preserve">entro para el </w:t>
      </w:r>
      <w:r w:rsidR="00CB7E6A" w:rsidRPr="0009398B">
        <w:rPr>
          <w:rFonts w:ascii="Calibri" w:eastAsia="Times New Roman" w:hAnsi="Calibri" w:cs="Calibri"/>
          <w:color w:val="000000"/>
          <w:lang w:bidi="es-US"/>
        </w:rPr>
        <w:t>a</w:t>
      </w:r>
      <w:r w:rsidR="004E7C48" w:rsidRPr="0009398B">
        <w:rPr>
          <w:rFonts w:ascii="Calibri" w:eastAsia="Times New Roman" w:hAnsi="Calibri" w:cs="Calibri"/>
          <w:color w:val="000000"/>
          <w:lang w:bidi="es-US"/>
        </w:rPr>
        <w:t>vance</w:t>
      </w:r>
      <w:r w:rsidR="00CB7E6A" w:rsidRPr="0009398B">
        <w:rPr>
          <w:rFonts w:ascii="Calibri" w:eastAsia="Times New Roman" w:hAnsi="Calibri" w:cs="Calibri"/>
          <w:color w:val="000000"/>
          <w:lang w:bidi="es-US"/>
        </w:rPr>
        <w:t xml:space="preserve"> de políticas de empleo para jóvenes (</w:t>
      </w:r>
      <w:r w:rsidR="00905A27" w:rsidRPr="0009398B">
        <w:rPr>
          <w:rFonts w:ascii="Calibri" w:eastAsia="Times New Roman" w:hAnsi="Calibri" w:cs="Calibri"/>
          <w:color w:val="000000"/>
          <w:lang w:bidi="es-US"/>
        </w:rPr>
        <w:t xml:space="preserve">Center for Advancing Policy on Employment for Youth, </w:t>
      </w:r>
      <w:r w:rsidRPr="0009398B">
        <w:rPr>
          <w:rFonts w:ascii="Calibri" w:eastAsia="Times New Roman" w:hAnsi="Calibri" w:cs="Calibri"/>
          <w:color w:val="000000"/>
          <w:lang w:bidi="es-US"/>
        </w:rPr>
        <w:t xml:space="preserve">CAPE </w:t>
      </w:r>
      <w:proofErr w:type="spellStart"/>
      <w:r w:rsidRPr="0009398B">
        <w:rPr>
          <w:rFonts w:ascii="Calibri" w:eastAsia="Times New Roman" w:hAnsi="Calibri" w:cs="Calibri"/>
          <w:color w:val="000000"/>
          <w:lang w:bidi="es-US"/>
        </w:rPr>
        <w:t>Youth</w:t>
      </w:r>
      <w:proofErr w:type="spellEnd"/>
      <w:r w:rsidRPr="0009398B">
        <w:rPr>
          <w:rFonts w:ascii="Calibri" w:eastAsia="Times New Roman" w:hAnsi="Calibri" w:cs="Calibri"/>
          <w:color w:val="000000"/>
          <w:lang w:bidi="es-US"/>
        </w:rPr>
        <w:t xml:space="preserve"> Center</w:t>
      </w:r>
      <w:r w:rsidR="00905A27" w:rsidRPr="0009398B">
        <w:rPr>
          <w:rFonts w:ascii="Calibri" w:eastAsia="Times New Roman" w:hAnsi="Calibri" w:cs="Calibri"/>
          <w:color w:val="000000"/>
          <w:lang w:bidi="es-US"/>
        </w:rPr>
        <w:t>) de</w:t>
      </w:r>
      <w:r w:rsidRPr="0009398B">
        <w:rPr>
          <w:rFonts w:ascii="Calibri" w:eastAsia="Times New Roman" w:hAnsi="Calibri" w:cs="Calibri"/>
          <w:color w:val="000000"/>
          <w:lang w:bidi="es-US"/>
        </w:rPr>
        <w:t xml:space="preserve"> Cornell.</w:t>
      </w:r>
    </w:p>
    <w:p w14:paraId="1193AD35" w14:textId="243A6A00" w:rsidR="004C1DFF" w:rsidRPr="0009398B" w:rsidRDefault="004C1DFF" w:rsidP="000333CA">
      <w:pPr>
        <w:pStyle w:val="Heading4"/>
        <w:jc w:val="both"/>
      </w:pPr>
      <w:r w:rsidRPr="0009398B">
        <w:rPr>
          <w:lang w:bidi="es-US"/>
        </w:rPr>
        <w:t xml:space="preserve">Área prioritaria </w:t>
      </w:r>
      <w:r w:rsidR="00F62AE5" w:rsidRPr="0009398B">
        <w:rPr>
          <w:lang w:bidi="es-US"/>
        </w:rPr>
        <w:t>n</w:t>
      </w:r>
      <w:r w:rsidR="0000555E" w:rsidRPr="0009398B">
        <w:rPr>
          <w:lang w:bidi="es-US"/>
        </w:rPr>
        <w:t>úm</w:t>
      </w:r>
      <w:r w:rsidRPr="0009398B">
        <w:rPr>
          <w:lang w:bidi="es-US"/>
        </w:rPr>
        <w:t>. 6: Promover el desarrollo, la contratación y la retención de personal</w:t>
      </w:r>
    </w:p>
    <w:p w14:paraId="69687290" w14:textId="7AFFC8E2" w:rsidR="004C1DFF" w:rsidRPr="0009398B" w:rsidRDefault="004C1DFF" w:rsidP="000333CA">
      <w:pPr>
        <w:jc w:val="both"/>
      </w:pPr>
      <w:r w:rsidRPr="0009398B">
        <w:rPr>
          <w:lang w:bidi="es-US"/>
        </w:rPr>
        <w:t xml:space="preserve">La DMH/DD/SUS sigue avanzando en las estrategias identificadas de desarrollo de personal que incluyen las siguientes: apoyar el aumento de salarios para el personal de atención comunitaria directa, apoyar a los cuidadores familiares como esenciales y crear recursos y vías esenciales para apoyar al personal de profesionales de apoyo directo (direct support professional, DSP) y especialistas de apoyo </w:t>
      </w:r>
      <w:r w:rsidR="00502989" w:rsidRPr="0009398B">
        <w:rPr>
          <w:lang w:bidi="es-US"/>
        </w:rPr>
        <w:t>entre</w:t>
      </w:r>
      <w:r w:rsidRPr="0009398B">
        <w:rPr>
          <w:lang w:bidi="es-US"/>
        </w:rPr>
        <w:t xml:space="preserve"> pares debidamente </w:t>
      </w:r>
      <w:r w:rsidR="00F81AB9" w:rsidRPr="0009398B">
        <w:rPr>
          <w:lang w:bidi="es-US"/>
        </w:rPr>
        <w:t xml:space="preserve">capacitados </w:t>
      </w:r>
      <w:r w:rsidRPr="0009398B">
        <w:rPr>
          <w:lang w:bidi="es-US"/>
        </w:rPr>
        <w:t xml:space="preserve">y certificados. En este trimestre, la División se ha centrado en maximizar los beneficios 1115 para que haya financiación para apoyar a la mayor cantidad posible de DSP. </w:t>
      </w:r>
    </w:p>
    <w:p w14:paraId="66FFF3DF" w14:textId="3F508DD4" w:rsidR="004C1DFF" w:rsidRPr="0009398B" w:rsidRDefault="004C1DFF" w:rsidP="000333CA">
      <w:pPr>
        <w:jc w:val="both"/>
        <w:rPr>
          <w:color w:val="3E3E3E"/>
        </w:rPr>
      </w:pPr>
      <w:r w:rsidRPr="0009398B">
        <w:rPr>
          <w:lang w:bidi="es-US"/>
        </w:rPr>
        <w:t>En este trimestre, la DMH/DD/SUS anunció que está buscando propuestas para financiar intervenciones que mejoren la contratación y retención de DSP. Esta inversión forma parte de una serie de iniciativas de apoyo a los DSP, quienes prestan servicios vitales a las personas con I/DD y desempeñan un papel fundamental en el personal de salud conductual del estado. La financiación apoyará iniciativas para mejorar la calidad del trabajo y la satisfacción laboral de los DSP con el objetivo de mejorar las tasas de contratación y retención.</w:t>
      </w:r>
    </w:p>
    <w:p w14:paraId="043BB1FE" w14:textId="5177B026" w:rsidR="004C1DFF" w:rsidRPr="0009398B" w:rsidRDefault="004C1DFF" w:rsidP="000333CA">
      <w:pPr>
        <w:jc w:val="both"/>
      </w:pPr>
      <w:r w:rsidRPr="0009398B">
        <w:rPr>
          <w:lang w:bidi="es-US"/>
        </w:rPr>
        <w:lastRenderedPageBreak/>
        <w:t xml:space="preserve">El desarrollo de </w:t>
      </w:r>
      <w:r w:rsidR="00F43D93" w:rsidRPr="0009398B">
        <w:rPr>
          <w:lang w:bidi="es-US"/>
        </w:rPr>
        <w:t xml:space="preserve">la fuerza laboral </w:t>
      </w:r>
      <w:r w:rsidRPr="0009398B">
        <w:rPr>
          <w:lang w:bidi="es-US"/>
        </w:rPr>
        <w:t>es otra de las prioridades clave del plan estratégico de la DMH/DD/SUS, por lo tanto, hace seguimiento de los resultados en esta materia y los publica en el tablero del plan estratégico. Los dos primeros meses del cuarto trimestre muestran avances en la cantidad de becas concedidas con el apoyo de la División para programas de</w:t>
      </w:r>
      <w:r w:rsidR="007267F9" w:rsidRPr="0009398B">
        <w:rPr>
          <w:lang w:bidi="es-US"/>
        </w:rPr>
        <w:t xml:space="preserve"> capacitación</w:t>
      </w:r>
      <w:r w:rsidRPr="0009398B">
        <w:rPr>
          <w:lang w:bidi="es-US"/>
        </w:rPr>
        <w:t xml:space="preserve"> de especialistas en apoyo </w:t>
      </w:r>
      <w:r w:rsidR="00BC30A0" w:rsidRPr="0009398B">
        <w:rPr>
          <w:lang w:bidi="es-US"/>
        </w:rPr>
        <w:t>e</w:t>
      </w:r>
      <w:r w:rsidR="00A90744" w:rsidRPr="0009398B">
        <w:rPr>
          <w:lang w:bidi="es-US"/>
        </w:rPr>
        <w:t>ntre</w:t>
      </w:r>
      <w:r w:rsidRPr="0009398B">
        <w:rPr>
          <w:lang w:bidi="es-US"/>
        </w:rPr>
        <w:t xml:space="preserve"> pares. En el tablero, también se demuestra el éxito de los esfuerzos mejorados con el aumento de la cantidad de especialistas certificados en apoyo </w:t>
      </w:r>
      <w:r w:rsidR="00B243C5" w:rsidRPr="0009398B">
        <w:rPr>
          <w:lang w:bidi="es-US"/>
        </w:rPr>
        <w:t>entre</w:t>
      </w:r>
      <w:r w:rsidRPr="0009398B">
        <w:rPr>
          <w:lang w:bidi="es-US"/>
        </w:rPr>
        <w:t xml:space="preserve"> pares contratados. La División está trabajando en la publicación de datos similares para los DSP en los próximos meses.</w:t>
      </w:r>
    </w:p>
    <w:p w14:paraId="7A69F995" w14:textId="77777777" w:rsidR="004C1DFF" w:rsidRPr="0009398B" w:rsidRDefault="004C1DFF" w:rsidP="000F1767">
      <w:pPr>
        <w:pStyle w:val="Heading2"/>
      </w:pPr>
      <w:bookmarkStart w:id="7" w:name="_Toc219206194"/>
      <w:r w:rsidRPr="0009398B">
        <w:rPr>
          <w:lang w:bidi="es-US"/>
        </w:rPr>
        <w:t>Retos para la implementación del Plan</w:t>
      </w:r>
      <w:bookmarkEnd w:id="7"/>
    </w:p>
    <w:p w14:paraId="4E98B207" w14:textId="77777777" w:rsidR="004C1DFF" w:rsidRPr="0009398B" w:rsidRDefault="004C1DFF" w:rsidP="0070523E">
      <w:pPr>
        <w:pStyle w:val="Heading3"/>
      </w:pPr>
      <w:bookmarkStart w:id="8" w:name="_Toc219206195"/>
      <w:r w:rsidRPr="0009398B">
        <w:rPr>
          <w:lang w:bidi="es-US"/>
        </w:rPr>
        <w:t>Huracán Helene</w:t>
      </w:r>
      <w:bookmarkEnd w:id="8"/>
    </w:p>
    <w:p w14:paraId="52F29BC5" w14:textId="43799725" w:rsidR="004C1DFF" w:rsidRPr="0009398B" w:rsidRDefault="004C1DFF" w:rsidP="003B74CA">
      <w:pPr>
        <w:spacing w:line="360" w:lineRule="auto"/>
        <w:jc w:val="both"/>
      </w:pPr>
      <w:r w:rsidRPr="0009398B">
        <w:rPr>
          <w:lang w:bidi="es-US"/>
        </w:rPr>
        <w:t xml:space="preserve">El huracán Helene, la tormenta más mortífera de la historia del estado, causó daños y devastación en Carolina del Norte a una escala sin precedentes. El 27 de septiembre de 2024, el huracán llegó a Carolina del Norte y afectó significativamente la región oeste del estado a largo plazo, donde </w:t>
      </w:r>
      <w:r w:rsidR="00ED21C4" w:rsidRPr="0009398B">
        <w:rPr>
          <w:lang w:bidi="es-US"/>
        </w:rPr>
        <w:t xml:space="preserve">viven </w:t>
      </w:r>
      <w:r w:rsidRPr="0009398B">
        <w:rPr>
          <w:lang w:bidi="es-US"/>
        </w:rPr>
        <w:t>más del 40</w:t>
      </w:r>
      <w:r w:rsidR="003B74CA" w:rsidRPr="0009398B">
        <w:rPr>
          <w:lang w:bidi="es-US"/>
        </w:rPr>
        <w:t xml:space="preserve"> %</w:t>
      </w:r>
      <w:r w:rsidRPr="0009398B">
        <w:rPr>
          <w:lang w:bidi="es-US"/>
        </w:rPr>
        <w:t xml:space="preserve"> de la población con Medicaid del estado. Además de la devastadora pérdida de vidas humanas, la tormenta destruyó miles de hogares, dañó decenas de miles más, interrumpió servicios críticos y dañó miles de kilómetros de carreteras y puentes. A través de la historia, se puede ver que las personas con discapacidad se ven desproporcionadamente perjudicadas por las catástrofes naturales. Hay más de 4,000 niños bajo la custodia del DSS y padres de recursos en los condados afectados. Con más de 100 </w:t>
      </w:r>
      <w:r w:rsidR="00CE25F2" w:rsidRPr="0009398B">
        <w:rPr>
          <w:lang w:bidi="es-US"/>
        </w:rPr>
        <w:t xml:space="preserve">hogares </w:t>
      </w:r>
      <w:r w:rsidRPr="0009398B">
        <w:rPr>
          <w:lang w:bidi="es-US"/>
        </w:rPr>
        <w:t xml:space="preserve">de grupo para personas con I/DD afectadas, algunos </w:t>
      </w:r>
      <w:r w:rsidR="00210850" w:rsidRPr="0009398B">
        <w:rPr>
          <w:lang w:bidi="es-US"/>
        </w:rPr>
        <w:t>d</w:t>
      </w:r>
      <w:r w:rsidR="00730090" w:rsidRPr="0009398B">
        <w:rPr>
          <w:lang w:bidi="es-US"/>
        </w:rPr>
        <w:t xml:space="preserve">e los </w:t>
      </w:r>
      <w:r w:rsidR="00712AC9" w:rsidRPr="0009398B">
        <w:rPr>
          <w:lang w:bidi="es-US"/>
        </w:rPr>
        <w:t>ingresados</w:t>
      </w:r>
      <w:r w:rsidR="00210850" w:rsidRPr="0009398B">
        <w:rPr>
          <w:lang w:bidi="es-US"/>
        </w:rPr>
        <w:t xml:space="preserve"> </w:t>
      </w:r>
      <w:r w:rsidRPr="0009398B">
        <w:rPr>
          <w:lang w:bidi="es-US"/>
        </w:rPr>
        <w:t xml:space="preserve">necesitaron ser trasladados a nuevas residencias y muchos requirieron asesoramiento y servicios terapéuticos. Como demuestran los ejemplos de avances que preceden a esta sección del informe, esta catástrofe no disuadió de trabajar en la implementación de los objetivos del </w:t>
      </w:r>
      <w:r w:rsidRPr="0009398B">
        <w:rPr>
          <w:i/>
          <w:lang w:bidi="es-US"/>
        </w:rPr>
        <w:t>Plan Olmstead</w:t>
      </w:r>
      <w:r w:rsidRPr="0009398B">
        <w:rPr>
          <w:lang w:bidi="es-US"/>
        </w:rPr>
        <w:t>. Hay que señalar, sin embargo, que también se dedicaron importantes esfuerzos a atender las necesidades de las personas con discapacidad</w:t>
      </w:r>
      <w:r w:rsidR="0020517F" w:rsidRPr="0009398B">
        <w:rPr>
          <w:lang w:bidi="es-US"/>
        </w:rPr>
        <w:t>es</w:t>
      </w:r>
      <w:r w:rsidRPr="0009398B">
        <w:rPr>
          <w:lang w:bidi="es-US"/>
        </w:rPr>
        <w:t xml:space="preserve"> afectadas por el huracán. A </w:t>
      </w:r>
      <w:r w:rsidR="00C82AFB" w:rsidRPr="0009398B">
        <w:rPr>
          <w:lang w:bidi="es-US"/>
        </w:rPr>
        <w:t>continuación,</w:t>
      </w:r>
      <w:r w:rsidRPr="0009398B">
        <w:rPr>
          <w:lang w:bidi="es-US"/>
        </w:rPr>
        <w:t xml:space="preserve"> se describen algunos ejemplos: </w:t>
      </w:r>
    </w:p>
    <w:p w14:paraId="404EBD9E" w14:textId="3BDD9806" w:rsidR="004C1DFF" w:rsidRPr="0009398B" w:rsidRDefault="004C1DFF" w:rsidP="000333CA">
      <w:pPr>
        <w:jc w:val="both"/>
      </w:pPr>
      <w:r w:rsidRPr="0009398B">
        <w:rPr>
          <w:rFonts w:eastAsia="Times New Roman"/>
          <w:color w:val="000000"/>
          <w:lang w:bidi="es-US"/>
        </w:rPr>
        <w:t xml:space="preserve">La DMH/DD/SUS </w:t>
      </w:r>
      <w:r w:rsidRPr="0009398B">
        <w:rPr>
          <w:lang w:bidi="es-US"/>
        </w:rPr>
        <w:t xml:space="preserve">publicó un </w:t>
      </w:r>
      <w:hyperlink r:id="rId30" w:history="1">
        <w:r w:rsidRPr="0009398B">
          <w:rPr>
            <w:rStyle w:val="Hyperlink"/>
            <w:szCs w:val="22"/>
            <w:lang w:bidi="es-US"/>
          </w:rPr>
          <w:t>cuaderno</w:t>
        </w:r>
      </w:hyperlink>
      <w:r w:rsidRPr="0009398B">
        <w:rPr>
          <w:lang w:bidi="es-US"/>
        </w:rPr>
        <w:t xml:space="preserve"> para explicar el huracán Helene a las personas con I/DD escrito en un lenguaje sencillo con elementos visuales para facilitar la comprensión. El cuaderno incluye un cuento, actividades e información para los socios cuidadores. El NCDHHS también publicó en línea un </w:t>
      </w:r>
      <w:hyperlink r:id="rId31" w:history="1">
        <w:r w:rsidRPr="0009398B">
          <w:rPr>
            <w:rStyle w:val="Hyperlink"/>
            <w:szCs w:val="22"/>
            <w:lang w:bidi="es-US"/>
          </w:rPr>
          <w:t xml:space="preserve">kit de herramientas de comunicación para la recuperación del huracán Helene. </w:t>
        </w:r>
      </w:hyperlink>
      <w:r w:rsidRPr="0009398B">
        <w:rPr>
          <w:lang w:bidi="es-US"/>
        </w:rPr>
        <w:t xml:space="preserve"> Este recurso ofrece folletos, imágenes de redes sociales y videos sobre recursos de recuperación de catástrofes. La página web de </w:t>
      </w:r>
      <w:hyperlink r:id="rId32" w:history="1">
        <w:r w:rsidRPr="0009398B">
          <w:rPr>
            <w:rStyle w:val="Hyperlink"/>
            <w:szCs w:val="22"/>
            <w:lang w:bidi="es-US"/>
          </w:rPr>
          <w:t>recursos para la recuperación del huracán Helene</w:t>
        </w:r>
      </w:hyperlink>
      <w:r w:rsidRPr="0009398B">
        <w:rPr>
          <w:lang w:bidi="es-US"/>
        </w:rPr>
        <w:t>, alojada en el NCDHHS, ofrece enlaces a información fundamental para apoyar a las personas con discapacidad</w:t>
      </w:r>
      <w:r w:rsidR="000D1C1D" w:rsidRPr="0009398B">
        <w:rPr>
          <w:lang w:bidi="es-US"/>
        </w:rPr>
        <w:t>es</w:t>
      </w:r>
      <w:r w:rsidRPr="0009398B">
        <w:rPr>
          <w:lang w:bidi="es-US"/>
        </w:rPr>
        <w:t>, como estrategias de comunicación, accesibilidad en los refugios y recursos específicos para personas sordas o con problemas de audición.</w:t>
      </w:r>
    </w:p>
    <w:p w14:paraId="27CD2334" w14:textId="2AA8435B" w:rsidR="004C1DFF" w:rsidRPr="0009398B" w:rsidRDefault="004C1DFF" w:rsidP="000333CA">
      <w:pPr>
        <w:jc w:val="both"/>
        <w:rPr>
          <w:color w:val="3E3E3E"/>
          <w:szCs w:val="22"/>
        </w:rPr>
      </w:pPr>
      <w:r w:rsidRPr="0009398B">
        <w:rPr>
          <w:rFonts w:eastAsia="Times New Roman"/>
          <w:color w:val="000000"/>
          <w:szCs w:val="22"/>
          <w:lang w:bidi="es-US"/>
        </w:rPr>
        <w:t xml:space="preserve">La DMH/DD/SUS </w:t>
      </w:r>
      <w:r w:rsidRPr="0009398B">
        <w:rPr>
          <w:color w:val="000000"/>
          <w:szCs w:val="22"/>
          <w:lang w:bidi="es-US"/>
        </w:rPr>
        <w:t xml:space="preserve">también anunció la </w:t>
      </w:r>
      <w:hyperlink r:id="rId33" w:tgtFrame="_blank" w:history="1">
        <w:r w:rsidRPr="0009398B">
          <w:rPr>
            <w:rStyle w:val="Hyperlink"/>
            <w:color w:val="284FA1"/>
            <w:szCs w:val="22"/>
            <w:lang w:bidi="es-US"/>
          </w:rPr>
          <w:t>expansión de Hope4NC</w:t>
        </w:r>
      </w:hyperlink>
      <w:r w:rsidRPr="0009398B">
        <w:rPr>
          <w:color w:val="3E3E3E"/>
          <w:szCs w:val="22"/>
          <w:lang w:bidi="es-US"/>
        </w:rPr>
        <w:t xml:space="preserve">, </w:t>
      </w:r>
      <w:r w:rsidRPr="0009398B">
        <w:rPr>
          <w:color w:val="000000"/>
          <w:szCs w:val="22"/>
          <w:lang w:bidi="es-US"/>
        </w:rPr>
        <w:t xml:space="preserve">para aumentar y mantener los esfuerzos de respuesta de salud mental al huracán Helene. Además de una línea telefónica de ayuda, Hope4NC ofrece un programa más amplio para ayudar a las personas de las comunidades a recuperarse de los efectos </w:t>
      </w:r>
      <w:r w:rsidRPr="0009398B">
        <w:rPr>
          <w:color w:val="000000"/>
          <w:szCs w:val="22"/>
          <w:lang w:bidi="es-US"/>
        </w:rPr>
        <w:lastRenderedPageBreak/>
        <w:t xml:space="preserve">devastadores del huracán. Hope4NC lleva a trabajadores formados en acercamiento en situaciones de crisis a las comunidades afectadas. Estos trabajadores hacen que las personas se conecten con recursos que brindan asistencia para la recuperación y el apoyo de la salud mental. Estos consejeros de </w:t>
      </w:r>
      <w:r w:rsidR="00C43D6C" w:rsidRPr="0009398B">
        <w:rPr>
          <w:color w:val="000000"/>
          <w:szCs w:val="22"/>
          <w:lang w:bidi="es-US"/>
        </w:rPr>
        <w:t xml:space="preserve">respuesta a </w:t>
      </w:r>
      <w:r w:rsidRPr="0009398B">
        <w:rPr>
          <w:color w:val="000000"/>
          <w:szCs w:val="22"/>
          <w:lang w:bidi="es-US"/>
        </w:rPr>
        <w:t xml:space="preserve">crisis se acercarán a las personas donde sea más conveniente, ya sea en su casa, la biblioteca, una iglesia o cualquier otro lugar. </w:t>
      </w:r>
      <w:r w:rsidRPr="0009398B">
        <w:rPr>
          <w:rFonts w:eastAsia="Times New Roman"/>
          <w:color w:val="000000"/>
          <w:szCs w:val="22"/>
          <w:lang w:bidi="es-US"/>
        </w:rPr>
        <w:t xml:space="preserve">La DMH/DD/SUS </w:t>
      </w:r>
      <w:r w:rsidRPr="0009398B">
        <w:rPr>
          <w:color w:val="000000"/>
          <w:szCs w:val="22"/>
          <w:lang w:bidi="es-US"/>
        </w:rPr>
        <w:t xml:space="preserve">está trabajando estrechamente con socios clave, como Vaya Health, Partners Health Management, REAL Crisis Center, la Oficina de Gestión de Emergencias, y la </w:t>
      </w:r>
      <w:r w:rsidR="008E5A7E" w:rsidRPr="0009398B">
        <w:rPr>
          <w:color w:val="000000"/>
          <w:szCs w:val="22"/>
          <w:lang w:bidi="es-US"/>
        </w:rPr>
        <w:t xml:space="preserve">Banda Oriental de </w:t>
      </w:r>
      <w:proofErr w:type="gramStart"/>
      <w:r w:rsidR="008E5A7E" w:rsidRPr="0009398B">
        <w:rPr>
          <w:color w:val="000000"/>
          <w:szCs w:val="22"/>
          <w:lang w:bidi="es-US"/>
        </w:rPr>
        <w:t>Indios</w:t>
      </w:r>
      <w:proofErr w:type="gramEnd"/>
      <w:r w:rsidR="008E5A7E" w:rsidRPr="0009398B">
        <w:rPr>
          <w:color w:val="000000"/>
          <w:szCs w:val="22"/>
          <w:lang w:bidi="es-US"/>
        </w:rPr>
        <w:t xml:space="preserve"> Cherokee</w:t>
      </w:r>
      <w:r w:rsidRPr="0009398B">
        <w:rPr>
          <w:color w:val="000000"/>
          <w:szCs w:val="22"/>
          <w:lang w:bidi="es-US"/>
        </w:rPr>
        <w:t>, para garantizar que nuestras comunidades tengan los recursos que necesiten. </w:t>
      </w:r>
    </w:p>
    <w:p w14:paraId="03CC3C57" w14:textId="77777777" w:rsidR="004C1DFF" w:rsidRPr="0009398B" w:rsidRDefault="004C1DFF" w:rsidP="000F1767">
      <w:pPr>
        <w:rPr>
          <w:color w:val="3E3E3E"/>
        </w:rPr>
      </w:pPr>
      <w:r w:rsidRPr="0009398B">
        <w:rPr>
          <w:lang w:bidi="es-US"/>
        </w:rPr>
        <w:t>Hope4NC ofrece la siguiente ayuda a los necesitados:</w:t>
      </w:r>
    </w:p>
    <w:p w14:paraId="4D337CCB" w14:textId="142CB687" w:rsidR="004C1DFF" w:rsidRPr="0009398B" w:rsidRDefault="00561490" w:rsidP="000F1767">
      <w:pPr>
        <w:pStyle w:val="ListParagraph"/>
        <w:numPr>
          <w:ilvl w:val="0"/>
          <w:numId w:val="27"/>
        </w:numPr>
      </w:pPr>
      <w:r w:rsidRPr="0009398B">
        <w:rPr>
          <w:lang w:bidi="es-US"/>
        </w:rPr>
        <w:t xml:space="preserve">Alcance </w:t>
      </w:r>
      <w:r w:rsidR="004C1DFF" w:rsidRPr="0009398B">
        <w:rPr>
          <w:lang w:bidi="es-US"/>
        </w:rPr>
        <w:t>y apoyo individual en caso de crisis</w:t>
      </w:r>
    </w:p>
    <w:p w14:paraId="4B475183" w14:textId="126322ED" w:rsidR="004C1DFF" w:rsidRPr="0009398B" w:rsidRDefault="00561490" w:rsidP="000F1767">
      <w:pPr>
        <w:pStyle w:val="ListParagraph"/>
        <w:numPr>
          <w:ilvl w:val="0"/>
          <w:numId w:val="27"/>
        </w:numPr>
      </w:pPr>
      <w:r w:rsidRPr="0009398B">
        <w:rPr>
          <w:lang w:bidi="es-US"/>
        </w:rPr>
        <w:t xml:space="preserve">Alcance </w:t>
      </w:r>
      <w:r w:rsidR="004C1DFF" w:rsidRPr="0009398B">
        <w:rPr>
          <w:lang w:bidi="es-US"/>
        </w:rPr>
        <w:t>grupal en</w:t>
      </w:r>
      <w:r w:rsidRPr="0009398B">
        <w:rPr>
          <w:lang w:bidi="es-US"/>
        </w:rPr>
        <w:t xml:space="preserve"> caso de</w:t>
      </w:r>
      <w:r w:rsidR="004C1DFF" w:rsidRPr="0009398B">
        <w:rPr>
          <w:lang w:bidi="es-US"/>
        </w:rPr>
        <w:t xml:space="preserve"> crisis</w:t>
      </w:r>
    </w:p>
    <w:p w14:paraId="0A0ED94C" w14:textId="77777777" w:rsidR="004C1DFF" w:rsidRPr="0009398B" w:rsidRDefault="004C1DFF" w:rsidP="000F1767">
      <w:pPr>
        <w:pStyle w:val="ListParagraph"/>
        <w:numPr>
          <w:ilvl w:val="0"/>
          <w:numId w:val="27"/>
        </w:numPr>
      </w:pPr>
      <w:r w:rsidRPr="0009398B">
        <w:rPr>
          <w:lang w:bidi="es-US"/>
        </w:rPr>
        <w:t>Educación pública</w:t>
      </w:r>
    </w:p>
    <w:p w14:paraId="76B2EFC1" w14:textId="77777777" w:rsidR="004C1DFF" w:rsidRPr="0009398B" w:rsidRDefault="004C1DFF" w:rsidP="000F1767">
      <w:pPr>
        <w:pStyle w:val="ListParagraph"/>
        <w:numPr>
          <w:ilvl w:val="0"/>
          <w:numId w:val="27"/>
        </w:numPr>
      </w:pPr>
      <w:r w:rsidRPr="0009398B">
        <w:rPr>
          <w:lang w:bidi="es-US"/>
        </w:rPr>
        <w:t>Redes y apoyo comunitarios</w:t>
      </w:r>
    </w:p>
    <w:p w14:paraId="4E806CDD" w14:textId="003F9553" w:rsidR="004C1DFF" w:rsidRPr="0009398B" w:rsidRDefault="004C1DFF" w:rsidP="002A37C1">
      <w:pPr>
        <w:pStyle w:val="ListParagraph"/>
        <w:numPr>
          <w:ilvl w:val="0"/>
          <w:numId w:val="27"/>
        </w:numPr>
      </w:pPr>
      <w:r w:rsidRPr="0009398B">
        <w:rPr>
          <w:lang w:bidi="es-US"/>
        </w:rPr>
        <w:t xml:space="preserve">Evaluación de situaciones, </w:t>
      </w:r>
      <w:r w:rsidR="00A767AA" w:rsidRPr="0009398B">
        <w:rPr>
          <w:lang w:bidi="es-US"/>
        </w:rPr>
        <w:t xml:space="preserve">remisión </w:t>
      </w:r>
      <w:r w:rsidRPr="0009398B">
        <w:rPr>
          <w:lang w:bidi="es-US"/>
        </w:rPr>
        <w:t>a recursos y conexión con estos</w:t>
      </w:r>
    </w:p>
    <w:p w14:paraId="2FDD41D6" w14:textId="77777777" w:rsidR="004C1DFF" w:rsidRPr="0009398B" w:rsidRDefault="004C1DFF" w:rsidP="002A37C1">
      <w:pPr>
        <w:pStyle w:val="Heading3"/>
      </w:pPr>
      <w:bookmarkStart w:id="9" w:name="_Toc219206196"/>
      <w:r w:rsidRPr="0009398B">
        <w:rPr>
          <w:lang w:bidi="es-US"/>
        </w:rPr>
        <w:t>Abordar la actual crisis de personal</w:t>
      </w:r>
      <w:bookmarkEnd w:id="9"/>
    </w:p>
    <w:p w14:paraId="563389A1" w14:textId="1147E743" w:rsidR="004C1DFF" w:rsidRPr="0009398B" w:rsidRDefault="004C1DFF" w:rsidP="000333CA">
      <w:pPr>
        <w:jc w:val="both"/>
      </w:pPr>
      <w:bookmarkStart w:id="10" w:name="_Hlk178002868"/>
      <w:r w:rsidRPr="0009398B">
        <w:rPr>
          <w:lang w:bidi="es-US"/>
        </w:rPr>
        <w:t>La</w:t>
      </w:r>
      <w:bookmarkEnd w:id="10"/>
      <w:r w:rsidRPr="0009398B">
        <w:rPr>
          <w:lang w:bidi="es-US"/>
        </w:rPr>
        <w:t xml:space="preserve"> crisis de personal sigue siendo un reto que afecta a todos los ámbitos del Plan Olmstead. Se trata de un problema común que las partes interesadas señalan en sus comentarios sobre el borrador del Plan 2024-2025. El NCDHHS ha tomado medidas para abordar esta cuestión, ha vuelto a darle prioridad y la ha añadido de nuevo al </w:t>
      </w:r>
      <w:bookmarkStart w:id="11" w:name="_Hlk168038059"/>
      <w:r w:rsidRPr="0009398B">
        <w:rPr>
          <w:lang w:bidi="es-US"/>
        </w:rPr>
        <w:t xml:space="preserve">plan </w:t>
      </w:r>
      <w:bookmarkEnd w:id="11"/>
      <w:r w:rsidRPr="0009398B">
        <w:rPr>
          <w:lang w:bidi="es-US"/>
        </w:rPr>
        <w:t xml:space="preserve">revisado, y gran parte de este trabajo se refleja en el área prioritaria </w:t>
      </w:r>
      <w:r w:rsidR="00F62AE5" w:rsidRPr="0009398B">
        <w:rPr>
          <w:lang w:bidi="es-US"/>
        </w:rPr>
        <w:t>n</w:t>
      </w:r>
      <w:r w:rsidR="0000555E" w:rsidRPr="0009398B">
        <w:rPr>
          <w:lang w:bidi="es-US"/>
        </w:rPr>
        <w:t>úm</w:t>
      </w:r>
      <w:r w:rsidRPr="0009398B">
        <w:rPr>
          <w:lang w:bidi="es-US"/>
        </w:rPr>
        <w:t xml:space="preserve">. 6. El NCDHHS ha puesto en marcha varias iniciativas para hacer frente a la crisis de personal de primera línea. El Consejo de Discapacidades del Desarrollo de Carolina del Norte está dirigiendo un importante trabajo para abordar la compensación de los DSP. Además, a través de una subvención del NCDHHS a los Centros de Educación </w:t>
      </w:r>
      <w:r w:rsidR="00A76496" w:rsidRPr="0009398B">
        <w:rPr>
          <w:lang w:bidi="es-US"/>
        </w:rPr>
        <w:t xml:space="preserve">de Salud </w:t>
      </w:r>
      <w:r w:rsidRPr="0009398B">
        <w:rPr>
          <w:lang w:bidi="es-US"/>
        </w:rPr>
        <w:t>del Área (Area Health Education Centers, AHEC) de Carolina del Norte, estos elaboraron recomendaciones relacionadas con la acreditación y la certificación de los DSP.</w:t>
      </w:r>
      <w:r w:rsidRPr="0009398B">
        <w:rPr>
          <w:rStyle w:val="FootnoteReference"/>
          <w:color w:val="000000"/>
          <w:szCs w:val="22"/>
          <w:lang w:bidi="es-US"/>
        </w:rPr>
        <w:footnoteReference w:id="1"/>
      </w:r>
      <w:r w:rsidRPr="0009398B">
        <w:rPr>
          <w:lang w:bidi="es-US"/>
        </w:rPr>
        <w:t xml:space="preserve"> A esto se le suma que la </w:t>
      </w:r>
      <w:r w:rsidR="0020216D" w:rsidRPr="0009398B">
        <w:rPr>
          <w:lang w:bidi="es-US"/>
        </w:rPr>
        <w:t xml:space="preserve">Coalición </w:t>
      </w:r>
      <w:r w:rsidR="00EE3F9E" w:rsidRPr="0009398B">
        <w:rPr>
          <w:lang w:bidi="es-US"/>
        </w:rPr>
        <w:t xml:space="preserve">sobre el </w:t>
      </w:r>
      <w:r w:rsidR="0020216D" w:rsidRPr="0009398B">
        <w:rPr>
          <w:lang w:bidi="es-US"/>
        </w:rPr>
        <w:t>Envejecimiento</w:t>
      </w:r>
      <w:r w:rsidR="001751E0" w:rsidRPr="0009398B">
        <w:rPr>
          <w:lang w:bidi="es-US"/>
        </w:rPr>
        <w:t xml:space="preserve"> (</w:t>
      </w:r>
      <w:r w:rsidRPr="0009398B">
        <w:rPr>
          <w:lang w:bidi="es-US"/>
        </w:rPr>
        <w:t>Coalition on Aging</w:t>
      </w:r>
      <w:r w:rsidR="001751E0" w:rsidRPr="0009398B">
        <w:rPr>
          <w:lang w:bidi="es-US"/>
        </w:rPr>
        <w:t>)</w:t>
      </w:r>
      <w:r w:rsidRPr="0009398B">
        <w:rPr>
          <w:lang w:bidi="es-US"/>
        </w:rPr>
        <w:t xml:space="preserve"> financió a</w:t>
      </w:r>
      <w:r w:rsidR="001751E0" w:rsidRPr="0009398B">
        <w:rPr>
          <w:lang w:bidi="es-US"/>
        </w:rPr>
        <w:t>l Instituto de Salud Pública</w:t>
      </w:r>
      <w:r w:rsidRPr="0009398B">
        <w:rPr>
          <w:lang w:bidi="es-US"/>
        </w:rPr>
        <w:t xml:space="preserve"> </w:t>
      </w:r>
      <w:r w:rsidR="00495C41" w:rsidRPr="0009398B">
        <w:rPr>
          <w:lang w:bidi="es-US"/>
        </w:rPr>
        <w:t>(</w:t>
      </w:r>
      <w:r w:rsidRPr="0009398B">
        <w:rPr>
          <w:lang w:bidi="es-US"/>
        </w:rPr>
        <w:t xml:space="preserve">Public Health </w:t>
      </w:r>
      <w:proofErr w:type="spellStart"/>
      <w:r w:rsidRPr="0009398B">
        <w:rPr>
          <w:lang w:bidi="es-US"/>
        </w:rPr>
        <w:t>Institute</w:t>
      </w:r>
      <w:proofErr w:type="spellEnd"/>
      <w:r w:rsidR="00495C41" w:rsidRPr="0009398B">
        <w:rPr>
          <w:lang w:bidi="es-US"/>
        </w:rPr>
        <w:t>,</w:t>
      </w:r>
      <w:r w:rsidRPr="0009398B">
        <w:rPr>
          <w:lang w:bidi="es-US"/>
        </w:rPr>
        <w:t xml:space="preserve"> PHI) para que le ayude a desarrollar las competencias en las que deben </w:t>
      </w:r>
      <w:r w:rsidR="00495C41" w:rsidRPr="0009398B">
        <w:rPr>
          <w:lang w:bidi="es-US"/>
        </w:rPr>
        <w:t xml:space="preserve">capacitarse </w:t>
      </w:r>
      <w:r w:rsidRPr="0009398B">
        <w:rPr>
          <w:lang w:bidi="es-US"/>
        </w:rPr>
        <w:t>los trabajadores de primera línea. El grupo de trabajo de profesionales de apoyo directo ha abogado por aumentos salariales en la Asamblea General de Carolina del Norte, un esfuerzo que se espera que tenga éxito. Estos esfuerzos son fundamentales, ya que los proveedores siguen luchando por contratar personal suficiente y mantenerlo para satisfacer las necesidades de los beneficiarios de servicios con discapacidad, especialmente en la comunidad.</w:t>
      </w:r>
    </w:p>
    <w:p w14:paraId="68259554" w14:textId="6D0125A4" w:rsidR="004C1DFF" w:rsidRPr="0009398B" w:rsidRDefault="004C1DFF" w:rsidP="00AE29CF">
      <w:pPr>
        <w:pStyle w:val="Heading3"/>
      </w:pPr>
      <w:bookmarkStart w:id="12" w:name="_Toc219206197"/>
      <w:r w:rsidRPr="0009398B">
        <w:rPr>
          <w:lang w:bidi="es-US"/>
        </w:rPr>
        <w:t>Cambiar a las estrategias del plan actualizado</w:t>
      </w:r>
      <w:bookmarkEnd w:id="12"/>
    </w:p>
    <w:p w14:paraId="04DEB15A" w14:textId="0E7FADB0" w:rsidR="004C1DFF" w:rsidRPr="0009398B" w:rsidRDefault="004C1DFF" w:rsidP="000333CA">
      <w:pPr>
        <w:jc w:val="both"/>
      </w:pPr>
      <w:r w:rsidRPr="0009398B">
        <w:rPr>
          <w:lang w:bidi="es-US"/>
        </w:rPr>
        <w:t xml:space="preserve">La transición a las estrategias identificadas en el plan actualizado requirió el desarrollo de acciones específicas y graduales en todas las agencias estatales </w:t>
      </w:r>
      <w:r w:rsidR="006B0FAC" w:rsidRPr="0009398B">
        <w:rPr>
          <w:lang w:bidi="es-US"/>
        </w:rPr>
        <w:t>involucradas</w:t>
      </w:r>
      <w:r w:rsidRPr="0009398B">
        <w:rPr>
          <w:lang w:bidi="es-US"/>
        </w:rPr>
        <w:t xml:space="preserve">. Tras la aprobación y la publicación del plan actualizado, los miembros del Consejo Asesor de Partes Interesadas del Plan Olmstead (Olmstead Plan Stakeholder Advisory, OPSA) interno identificaron los trabajos en curso que apoyan las estrategias, junto con las nuevas actividades previstas. El cuarto trimestre (el tercero en la implementación del nuevo </w:t>
      </w:r>
      <w:r w:rsidRPr="0009398B">
        <w:rPr>
          <w:lang w:bidi="es-US"/>
        </w:rPr>
        <w:lastRenderedPageBreak/>
        <w:t xml:space="preserve">plan) siguió reflejando el ajuste al nuevo Plan y los esfuerzos por alinear las estrategias identificadas con el trabajo en curso y evitar la duplicación de los mecanismos de información. Este punto puede quedar más claro en el desarrollo del plan estratégico y el tablero </w:t>
      </w:r>
      <w:r w:rsidRPr="0009398B">
        <w:rPr>
          <w:rFonts w:eastAsia="Times New Roman"/>
          <w:lang w:bidi="es-US"/>
        </w:rPr>
        <w:t>de la DMH/DD/SUS</w:t>
      </w:r>
      <w:r w:rsidRPr="0009398B">
        <w:rPr>
          <w:lang w:bidi="es-US"/>
        </w:rPr>
        <w:t>. Este plan estratégico figura a su vez como estrategia del Plan Olmstead, y muchas de sus actividades repercuten directamente en la implementación del Plan Olmstead. Sin embargo, la duplicación de la elaboración de informes para el tablero y para el Plan Olmstead ha creado dificultades y cierta ineficacia en el uso de los recursos. La TAC seguirá apoyando a las entidades informantes para agilizar el proceso, garantizar el alineamiento y evitar la duplicación de esfuerzos.</w:t>
      </w:r>
    </w:p>
    <w:p w14:paraId="6E468A81" w14:textId="77777777" w:rsidR="004C1DFF" w:rsidRPr="0009398B" w:rsidRDefault="004C1DFF" w:rsidP="000F1767"/>
    <w:p w14:paraId="617B1366" w14:textId="77777777" w:rsidR="00F26BDD" w:rsidRPr="0009398B" w:rsidRDefault="00F26BDD">
      <w:pPr>
        <w:spacing w:after="0" w:line="240" w:lineRule="auto"/>
        <w:rPr>
          <w:rFonts w:ascii="Arial Black" w:eastAsiaTheme="majorEastAsia" w:hAnsi="Arial Black" w:cstheme="majorBidi"/>
          <w:b/>
          <w:bCs/>
          <w:color w:val="041E42"/>
          <w:spacing w:val="-10"/>
          <w:sz w:val="44"/>
          <w:szCs w:val="32"/>
        </w:rPr>
      </w:pPr>
      <w:r w:rsidRPr="0009398B">
        <w:rPr>
          <w:lang w:bidi="es-US"/>
        </w:rPr>
        <w:br w:type="page"/>
      </w:r>
    </w:p>
    <w:p w14:paraId="233C7BA3" w14:textId="6366C986" w:rsidR="004C1DFF" w:rsidRPr="0009398B" w:rsidRDefault="004C1DFF" w:rsidP="000F1767">
      <w:pPr>
        <w:pStyle w:val="Heading1"/>
      </w:pPr>
      <w:bookmarkStart w:id="13" w:name="_Toc219206198"/>
      <w:r w:rsidRPr="0009398B">
        <w:rPr>
          <w:lang w:bidi="es-US"/>
        </w:rPr>
        <w:lastRenderedPageBreak/>
        <w:t>Próximos pasos en la implementación del Plan Olmstead</w:t>
      </w:r>
      <w:bookmarkEnd w:id="13"/>
    </w:p>
    <w:p w14:paraId="625FF0F5" w14:textId="7BD8971E" w:rsidR="004C1DFF" w:rsidRPr="0009398B" w:rsidRDefault="004C1DFF" w:rsidP="000333CA">
      <w:pPr>
        <w:jc w:val="both"/>
      </w:pPr>
      <w:r w:rsidRPr="0009398B">
        <w:rPr>
          <w:lang w:bidi="es-US"/>
        </w:rPr>
        <w:t xml:space="preserve">Los informes trimestrales seguirán reflejando los avances en las estrategias derivadas de las seis áreas prioritarias del Plan 2024-2025. La TAC, el NCDHHS y Mathematica trabajarán para garantizar que todas las medidas y las acciones sigan siendo relevantes para la presentación de informes y que se ajusten según sea necesario. Con el alineamiento de prioridades, acciones y medidas, Carolina del Norte podrá evaluar los avances continuos en la creación de comunidades inclusivas. </w:t>
      </w:r>
    </w:p>
    <w:p w14:paraId="15ABD18E" w14:textId="25F4871D" w:rsidR="004C1DFF" w:rsidRPr="0009398B" w:rsidRDefault="004C1DFF" w:rsidP="000333CA">
      <w:pPr>
        <w:jc w:val="both"/>
      </w:pPr>
      <w:bookmarkStart w:id="14" w:name="_Hlk136872990"/>
      <w:r w:rsidRPr="0009398B">
        <w:rPr>
          <w:lang w:bidi="es-US"/>
        </w:rPr>
        <w:t>El próximo informe de situación de la actividad de las entidades informantes será en abril de 2025.</w:t>
      </w:r>
      <w:bookmarkEnd w:id="14"/>
      <w:r w:rsidRPr="0009398B">
        <w:rPr>
          <w:lang w:bidi="es-US"/>
        </w:rPr>
        <w:t xml:space="preserve"> La TAC preparará el próximo informe resumido, que se publicará en mayo de 2025. </w:t>
      </w:r>
    </w:p>
    <w:p w14:paraId="47DA2A63" w14:textId="77777777" w:rsidR="00660C1B" w:rsidRPr="0009398B" w:rsidRDefault="00660C1B" w:rsidP="000F1767"/>
    <w:sectPr w:rsidR="00660C1B" w:rsidRPr="0009398B" w:rsidSect="000333CA">
      <w:headerReference w:type="even" r:id="rId34"/>
      <w:headerReference w:type="default" r:id="rId35"/>
      <w:footerReference w:type="default" r:id="rId36"/>
      <w:headerReference w:type="first" r:id="rId37"/>
      <w:pgSz w:w="12240" w:h="15840"/>
      <w:pgMar w:top="1440" w:right="1440" w:bottom="1440" w:left="1440" w:header="720"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67A1" w14:textId="77777777" w:rsidR="00AE1643" w:rsidRDefault="00AE1643" w:rsidP="000F1767">
      <w:r>
        <w:separator/>
      </w:r>
    </w:p>
  </w:endnote>
  <w:endnote w:type="continuationSeparator" w:id="0">
    <w:p w14:paraId="159EBD0E" w14:textId="77777777" w:rsidR="00AE1643" w:rsidRDefault="00AE1643" w:rsidP="000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267465"/>
      <w:docPartObj>
        <w:docPartGallery w:val="Page Numbers (Bottom of Page)"/>
        <w:docPartUnique/>
      </w:docPartObj>
    </w:sdtPr>
    <w:sdtContent>
      <w:p w14:paraId="32CC00F6" w14:textId="321EBA07" w:rsidR="00076E96" w:rsidRDefault="00076E96" w:rsidP="000F1767">
        <w:pPr>
          <w:pStyle w:val="Footer"/>
          <w:rPr>
            <w:rStyle w:val="PageNumber"/>
          </w:rPr>
        </w:pPr>
        <w:r>
          <w:rPr>
            <w:rStyle w:val="PageNumber"/>
            <w:lang w:bidi="es-US"/>
          </w:rPr>
          <w:fldChar w:fldCharType="begin"/>
        </w:r>
        <w:r>
          <w:rPr>
            <w:rStyle w:val="PageNumber"/>
            <w:lang w:bidi="es-US"/>
          </w:rPr>
          <w:instrText xml:space="preserve"> PAGE </w:instrText>
        </w:r>
        <w:r>
          <w:rPr>
            <w:rStyle w:val="PageNumber"/>
            <w:lang w:bidi="es-US"/>
          </w:rPr>
          <w:fldChar w:fldCharType="separate"/>
        </w:r>
        <w:r w:rsidR="000333CA">
          <w:rPr>
            <w:rStyle w:val="PageNumber"/>
            <w:noProof/>
            <w:lang w:bidi="es-US"/>
          </w:rPr>
          <w:t>17</w:t>
        </w:r>
        <w:r>
          <w:rPr>
            <w:rStyle w:val="PageNumber"/>
            <w:lang w:bidi="es-US"/>
          </w:rPr>
          <w:fldChar w:fldCharType="end"/>
        </w:r>
      </w:p>
    </w:sdtContent>
  </w:sdt>
  <w:sdt>
    <w:sdtPr>
      <w:rPr>
        <w:rStyle w:val="PageNumber"/>
      </w:rPr>
      <w:id w:val="-2044428431"/>
      <w:docPartObj>
        <w:docPartGallery w:val="Page Numbers (Bottom of Page)"/>
        <w:docPartUnique/>
      </w:docPartObj>
    </w:sdtPr>
    <w:sdtContent>
      <w:p w14:paraId="03CF2637" w14:textId="4A2C2DE9" w:rsidR="00076E96" w:rsidRDefault="00076E96" w:rsidP="000F1767">
        <w:pPr>
          <w:pStyle w:val="Footer"/>
          <w:rPr>
            <w:rStyle w:val="PageNumber"/>
          </w:rPr>
        </w:pPr>
        <w:r>
          <w:rPr>
            <w:rStyle w:val="PageNumber"/>
            <w:lang w:bidi="es-US"/>
          </w:rPr>
          <w:fldChar w:fldCharType="begin"/>
        </w:r>
        <w:r>
          <w:rPr>
            <w:rStyle w:val="PageNumber"/>
            <w:lang w:bidi="es-US"/>
          </w:rPr>
          <w:instrText xml:space="preserve"> PAGE </w:instrText>
        </w:r>
        <w:r>
          <w:rPr>
            <w:rStyle w:val="PageNumber"/>
            <w:lang w:bidi="es-US"/>
          </w:rPr>
          <w:fldChar w:fldCharType="separate"/>
        </w:r>
        <w:r w:rsidR="000333CA">
          <w:rPr>
            <w:rStyle w:val="PageNumber"/>
            <w:noProof/>
            <w:lang w:bidi="es-US"/>
          </w:rPr>
          <w:t>17</w:t>
        </w:r>
        <w:r>
          <w:rPr>
            <w:rStyle w:val="PageNumber"/>
            <w:lang w:bidi="es-US"/>
          </w:rPr>
          <w:fldChar w:fldCharType="end"/>
        </w:r>
      </w:p>
    </w:sdtContent>
  </w:sdt>
  <w:p w14:paraId="3C452A1D" w14:textId="77777777" w:rsidR="00076E96" w:rsidRDefault="00076E96" w:rsidP="000F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805519"/>
      <w:docPartObj>
        <w:docPartGallery w:val="Page Numbers (Bottom of Page)"/>
        <w:docPartUnique/>
      </w:docPartObj>
    </w:sdtPr>
    <w:sdtContent>
      <w:p w14:paraId="2E791EA3" w14:textId="53ADC622" w:rsidR="00076E96" w:rsidRDefault="00076E96" w:rsidP="000F1767">
        <w:pPr>
          <w:pStyle w:val="Footer"/>
          <w:rPr>
            <w:rStyle w:val="PageNumber"/>
          </w:rPr>
        </w:pPr>
        <w:r>
          <w:rPr>
            <w:rStyle w:val="PageNumber"/>
            <w:lang w:bidi="es-US"/>
          </w:rPr>
          <w:fldChar w:fldCharType="begin"/>
        </w:r>
        <w:r>
          <w:rPr>
            <w:rStyle w:val="PageNumber"/>
            <w:lang w:bidi="es-US"/>
          </w:rPr>
          <w:instrText xml:space="preserve"> PAGE </w:instrText>
        </w:r>
        <w:r>
          <w:rPr>
            <w:rStyle w:val="PageNumber"/>
            <w:lang w:bidi="es-US"/>
          </w:rPr>
          <w:fldChar w:fldCharType="separate"/>
        </w:r>
        <w:r>
          <w:rPr>
            <w:rStyle w:val="PageNumber"/>
            <w:noProof/>
            <w:lang w:bidi="es-US"/>
          </w:rPr>
          <w:t>4</w:t>
        </w:r>
        <w:r>
          <w:rPr>
            <w:rStyle w:val="PageNumber"/>
            <w:lang w:bidi="es-US"/>
          </w:rPr>
          <w:fldChar w:fldCharType="end"/>
        </w:r>
      </w:p>
    </w:sdtContent>
  </w:sdt>
  <w:p w14:paraId="327E81EF" w14:textId="39C1C29E" w:rsidR="00076E96" w:rsidRPr="00447FF7" w:rsidRDefault="00076E96" w:rsidP="000F1767">
    <w:pPr>
      <w:pStyle w:val="Footer"/>
    </w:pPr>
    <w:r>
      <w:rPr>
        <w:lang w:bidi="es-US"/>
      </w:rPr>
      <w:t>[Introduzca el título aquí]</w:t>
    </w:r>
    <w:r>
      <w:rPr>
        <w:lang w:bidi="es-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DFA2" w14:textId="0FE75392" w:rsidR="00076E96" w:rsidRPr="00436170" w:rsidRDefault="000D2465" w:rsidP="000F1767">
    <w:pPr>
      <w:pStyle w:val="Footer"/>
      <w:rPr>
        <w:b/>
        <w:bCs/>
      </w:rPr>
    </w:pPr>
    <w:r>
      <w:rPr>
        <w:noProof/>
        <w:lang w:bidi="es-US"/>
      </w:rPr>
      <w:drawing>
        <wp:anchor distT="0" distB="0" distL="114300" distR="114300" simplePos="0" relativeHeight="251708416" behindDoc="1" locked="0" layoutInCell="1" allowOverlap="1" wp14:anchorId="79F6176B" wp14:editId="74E94999">
          <wp:simplePos x="0" y="0"/>
          <wp:positionH relativeFrom="column">
            <wp:posOffset>0</wp:posOffset>
          </wp:positionH>
          <wp:positionV relativeFrom="page">
            <wp:posOffset>9031456</wp:posOffset>
          </wp:positionV>
          <wp:extent cx="996696" cy="731520"/>
          <wp:effectExtent l="0" t="0" r="0" b="0"/>
          <wp:wrapNone/>
          <wp:docPr id="1796719923" name="Picture 1796719923" descr="Technical Assistance Collaborativ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Technical Assistance Collaborative, Inc, Logo"/>
                  <pic:cNvPicPr/>
                </pic:nvPicPr>
                <pic:blipFill rotWithShape="1">
                  <a:blip r:embed="rId1" cstate="print">
                    <a:extLst>
                      <a:ext uri="{28A0092B-C50C-407E-A947-70E740481C1C}">
                        <a14:useLocalDpi xmlns:a14="http://schemas.microsoft.com/office/drawing/2010/main" val="0"/>
                      </a:ext>
                    </a:extLst>
                  </a:blip>
                  <a:srcRect t="6526" b="6449"/>
                  <a:stretch/>
                </pic:blipFill>
                <pic:spPr bwMode="auto">
                  <a:xfrm>
                    <a:off x="0" y="0"/>
                    <a:ext cx="996696" cy="73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E96" w:rsidRPr="00436170">
      <w:rPr>
        <w:lang w:bidi="es-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0685" w14:textId="74ECF24D" w:rsidR="00076E96" w:rsidRPr="00447FF7" w:rsidRDefault="00076E96" w:rsidP="000F1767">
    <w:pPr>
      <w:pStyle w:val="Footer"/>
    </w:pPr>
    <w:r>
      <w:rPr>
        <w:lang w:bidi="es-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EF95" w14:textId="77777777" w:rsidR="000333CA" w:rsidRPr="000333CA" w:rsidRDefault="00A56382" w:rsidP="00A56382">
    <w:pPr>
      <w:pStyle w:val="Footer"/>
      <w:tabs>
        <w:tab w:val="clear" w:pos="4680"/>
      </w:tabs>
      <w:ind w:right="360"/>
      <w:rPr>
        <w:sz w:val="20"/>
        <w:szCs w:val="22"/>
        <w:lang w:bidi="es-US"/>
      </w:rPr>
    </w:pPr>
    <w:r w:rsidRPr="000333CA">
      <w:rPr>
        <w:sz w:val="20"/>
        <w:szCs w:val="22"/>
        <w:lang w:bidi="es-US"/>
      </w:rPr>
      <w:t>Implementación del Plan Olmstead de Carolina del Norte</w:t>
    </w:r>
    <w:r w:rsidRPr="000333CA">
      <w:rPr>
        <w:rFonts w:cs="Calibri Light"/>
        <w:sz w:val="20"/>
        <w:szCs w:val="22"/>
        <w:lang w:bidi="es-US"/>
      </w:rPr>
      <w:t>:</w:t>
    </w:r>
    <w:r w:rsidRPr="000333CA">
      <w:rPr>
        <w:sz w:val="20"/>
        <w:szCs w:val="22"/>
        <w:lang w:bidi="es-US"/>
      </w:rPr>
      <w:t xml:space="preserve"> informe resumido, </w:t>
    </w:r>
  </w:p>
  <w:p w14:paraId="34B8C5A1" w14:textId="03BC590A" w:rsidR="000333CA" w:rsidRDefault="00A56382" w:rsidP="000333CA">
    <w:pPr>
      <w:pStyle w:val="Footer"/>
      <w:jc w:val="right"/>
      <w:rPr>
        <w:rStyle w:val="PageNumber"/>
      </w:rPr>
    </w:pPr>
    <w:r w:rsidRPr="000333CA">
      <w:rPr>
        <w:sz w:val="20"/>
        <w:szCs w:val="22"/>
        <w:lang w:bidi="es-US"/>
      </w:rPr>
      <w:t>del 1 de octubre al 31 de diciembre de 2024</w:t>
    </w:r>
    <w:r w:rsidR="000333CA" w:rsidRPr="000333CA">
      <w:rPr>
        <w:rStyle w:val="PageNumber"/>
        <w:sz w:val="20"/>
        <w:szCs w:val="22"/>
      </w:rPr>
      <w:t xml:space="preserve"> </w:t>
    </w:r>
    <w:r w:rsidR="000333CA" w:rsidRPr="000333CA">
      <w:rPr>
        <w:rStyle w:val="PageNumber"/>
        <w:sz w:val="20"/>
        <w:szCs w:val="22"/>
      </w:rPr>
      <w:tab/>
    </w:r>
    <w:r w:rsidR="000333CA">
      <w:rPr>
        <w:rStyle w:val="PageNumber"/>
      </w:rPr>
      <w:tab/>
    </w:r>
    <w:sdt>
      <w:sdtPr>
        <w:rPr>
          <w:rStyle w:val="PageNumber"/>
        </w:rPr>
        <w:id w:val="-1341467756"/>
        <w:docPartObj>
          <w:docPartGallery w:val="Page Numbers (Bottom of Page)"/>
          <w:docPartUnique/>
        </w:docPartObj>
      </w:sdtPr>
      <w:sdtContent>
        <w:r w:rsidR="000333CA">
          <w:rPr>
            <w:rStyle w:val="PageNumber"/>
            <w:lang w:bidi="es-US"/>
          </w:rPr>
          <w:fldChar w:fldCharType="begin"/>
        </w:r>
        <w:r w:rsidR="000333CA">
          <w:rPr>
            <w:rStyle w:val="PageNumber"/>
            <w:lang w:bidi="es-US"/>
          </w:rPr>
          <w:instrText xml:space="preserve"> PAGE </w:instrText>
        </w:r>
        <w:r w:rsidR="000333CA">
          <w:rPr>
            <w:rStyle w:val="PageNumber"/>
            <w:lang w:bidi="es-US"/>
          </w:rPr>
          <w:fldChar w:fldCharType="separate"/>
        </w:r>
        <w:r w:rsidR="000333CA">
          <w:rPr>
            <w:rStyle w:val="PageNumber"/>
            <w:lang w:bidi="es-US"/>
          </w:rPr>
          <w:t>5</w:t>
        </w:r>
        <w:r w:rsidR="000333CA">
          <w:rPr>
            <w:rStyle w:val="PageNumber"/>
            <w:lang w:bidi="es-US"/>
          </w:rPr>
          <w:fldChar w:fldCharType="end"/>
        </w:r>
      </w:sdtContent>
    </w:sdt>
  </w:p>
  <w:p w14:paraId="77D8BB10" w14:textId="2F827394" w:rsidR="00A56382" w:rsidRPr="00447FF7" w:rsidRDefault="00A56382" w:rsidP="00A56382">
    <w:pPr>
      <w:pStyle w:val="Footer"/>
      <w:tabs>
        <w:tab w:val="clear" w:pos="4680"/>
      </w:tabs>
      <w:ind w:right="360"/>
    </w:pPr>
  </w:p>
  <w:p w14:paraId="079CBABD" w14:textId="77777777" w:rsidR="005330ED" w:rsidRDefault="005330ED" w:rsidP="000F1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28BF" w14:textId="77777777" w:rsidR="00AE1643" w:rsidRDefault="00AE1643" w:rsidP="000F1767">
      <w:r>
        <w:separator/>
      </w:r>
    </w:p>
  </w:footnote>
  <w:footnote w:type="continuationSeparator" w:id="0">
    <w:p w14:paraId="7874FAA4" w14:textId="77777777" w:rsidR="00AE1643" w:rsidRDefault="00AE1643" w:rsidP="000F1767">
      <w:r>
        <w:continuationSeparator/>
      </w:r>
    </w:p>
  </w:footnote>
  <w:footnote w:id="1">
    <w:p w14:paraId="24730ABA" w14:textId="77777777" w:rsidR="004C1DFF" w:rsidRDefault="004C1DFF" w:rsidP="000F1767">
      <w:pPr>
        <w:pStyle w:val="FootnoteText"/>
      </w:pPr>
      <w:r>
        <w:rPr>
          <w:rStyle w:val="FootnoteReference"/>
          <w:lang w:bidi="es-US"/>
        </w:rPr>
        <w:footnoteRef/>
      </w:r>
      <w:r>
        <w:rPr>
          <w:lang w:bidi="es-US"/>
        </w:rPr>
        <w:t xml:space="preserve"> Consulte también https://medicaid.ncdhhs.gov/DCW-Initiative.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389F" w14:textId="0E726550" w:rsidR="00076E96" w:rsidRDefault="00076E96" w:rsidP="000F1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EB4" w14:textId="55A564FC" w:rsidR="00076E96" w:rsidRDefault="00076E96" w:rsidP="000F1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2908" w14:textId="7E153D8D" w:rsidR="00076E96" w:rsidRPr="00114EAC" w:rsidRDefault="00076E96" w:rsidP="000F1767">
    <w:pPr>
      <w:pStyle w:val="Header"/>
    </w:pPr>
    <w:r>
      <w:rPr>
        <w:noProof/>
        <w:lang w:bidi="es-US"/>
      </w:rPr>
      <w:drawing>
        <wp:inline distT="0" distB="0" distL="0" distR="0" wp14:anchorId="21EA2A8C" wp14:editId="0A3E5C61">
          <wp:extent cx="7315200" cy="5118100"/>
          <wp:effectExtent l="0" t="0" r="0" b="0"/>
          <wp:docPr id="1281691174" name="Picture 1281691174"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uot;&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51181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7D5B" w14:textId="764E0B31" w:rsidR="00076E96" w:rsidRDefault="00076E96" w:rsidP="000F17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9EAC" w14:textId="2B105CA0" w:rsidR="00076E96" w:rsidRDefault="00076E96" w:rsidP="000F17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EB59" w14:textId="451FF6DB" w:rsidR="00076E96" w:rsidRDefault="00076E96" w:rsidP="000F17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3810" w14:textId="734A5F32" w:rsidR="00076E96" w:rsidRDefault="00076E96" w:rsidP="000F1767">
    <w:pPr>
      <w:pStyle w:val="Header"/>
    </w:pPr>
  </w:p>
  <w:p w14:paraId="3890CAE1" w14:textId="77777777" w:rsidR="005330ED" w:rsidRDefault="005330ED" w:rsidP="000F17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2257" w14:textId="0733099D" w:rsidR="00076E96" w:rsidRDefault="00076E96" w:rsidP="000F1767">
    <w:pPr>
      <w:pStyle w:val="Header"/>
    </w:pPr>
  </w:p>
  <w:p w14:paraId="3176C451" w14:textId="77777777" w:rsidR="005330ED" w:rsidRDefault="005330ED" w:rsidP="000F176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0E44" w14:textId="2DBE297D" w:rsidR="00076E96" w:rsidRDefault="00076E96" w:rsidP="000F1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843337" o:spid="_x0000_i1025" type="#_x0000_t75" style="width:10.7pt;height:10.7pt;visibility:visible;mso-wrap-style:square" o:bullet="t">
        <v:imagedata r:id="rId1" o:title=""/>
      </v:shape>
    </w:pict>
  </w:numPicBullet>
  <w:abstractNum w:abstractNumId="0"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2B20BA9"/>
    <w:multiLevelType w:val="multilevel"/>
    <w:tmpl w:val="2A7A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42605"/>
    <w:multiLevelType w:val="multilevel"/>
    <w:tmpl w:val="A9EE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00C15"/>
    <w:multiLevelType w:val="hybridMultilevel"/>
    <w:tmpl w:val="5E38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35E79"/>
    <w:multiLevelType w:val="hybridMultilevel"/>
    <w:tmpl w:val="0E78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25A70"/>
    <w:multiLevelType w:val="hybridMultilevel"/>
    <w:tmpl w:val="9AD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3620CD2"/>
    <w:multiLevelType w:val="multilevel"/>
    <w:tmpl w:val="13121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12"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B8A1A69"/>
    <w:multiLevelType w:val="multilevel"/>
    <w:tmpl w:val="C35E8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15"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84D2448"/>
    <w:multiLevelType w:val="multilevel"/>
    <w:tmpl w:val="27647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81C1180"/>
    <w:multiLevelType w:val="hybridMultilevel"/>
    <w:tmpl w:val="16F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F105E"/>
    <w:multiLevelType w:val="hybridMultilevel"/>
    <w:tmpl w:val="04965A68"/>
    <w:lvl w:ilvl="0" w:tplc="DA7416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E0828"/>
    <w:multiLevelType w:val="hybridMultilevel"/>
    <w:tmpl w:val="88606F6A"/>
    <w:lvl w:ilvl="0" w:tplc="D8523AD4">
      <w:start w:val="1"/>
      <w:numFmt w:val="bullet"/>
      <w:pStyle w:val="LinkBullet"/>
      <w:lvlText w:val=""/>
      <w:lvlPicBulletId w:val="0"/>
      <w:lvlJc w:val="left"/>
      <w:pPr>
        <w:ind w:left="2880" w:hanging="360"/>
      </w:pPr>
      <w:rPr>
        <w:rFonts w:ascii="Symbol" w:hAnsi="Symbol" w:cs="Times New Roman (Body CS)" w:hint="default"/>
        <w:color w:val="auto"/>
        <w:sz w:val="2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C1A43B7"/>
    <w:multiLevelType w:val="hybridMultilevel"/>
    <w:tmpl w:val="16C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336115">
    <w:abstractNumId w:val="3"/>
  </w:num>
  <w:num w:numId="2" w16cid:durableId="839661037">
    <w:abstractNumId w:val="2"/>
  </w:num>
  <w:num w:numId="3" w16cid:durableId="689599500">
    <w:abstractNumId w:val="1"/>
  </w:num>
  <w:num w:numId="4" w16cid:durableId="1447503109">
    <w:abstractNumId w:val="0"/>
  </w:num>
  <w:num w:numId="5" w16cid:durableId="2080131191">
    <w:abstractNumId w:val="14"/>
  </w:num>
  <w:num w:numId="6" w16cid:durableId="646252331">
    <w:abstractNumId w:val="19"/>
  </w:num>
  <w:num w:numId="7" w16cid:durableId="1053893901">
    <w:abstractNumId w:val="20"/>
  </w:num>
  <w:num w:numId="8" w16cid:durableId="322897523">
    <w:abstractNumId w:val="12"/>
  </w:num>
  <w:num w:numId="9" w16cid:durableId="866451986">
    <w:abstractNumId w:val="15"/>
  </w:num>
  <w:num w:numId="10" w16cid:durableId="1372340241">
    <w:abstractNumId w:val="9"/>
  </w:num>
  <w:num w:numId="11" w16cid:durableId="602996807">
    <w:abstractNumId w:val="17"/>
  </w:num>
  <w:num w:numId="12" w16cid:durableId="277958187">
    <w:abstractNumId w:val="11"/>
  </w:num>
  <w:num w:numId="13" w16cid:durableId="2096321121">
    <w:abstractNumId w:val="10"/>
  </w:num>
  <w:num w:numId="14" w16cid:durableId="1469130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202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95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68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82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453521">
    <w:abstractNumId w:val="16"/>
  </w:num>
  <w:num w:numId="20" w16cid:durableId="851645510">
    <w:abstractNumId w:val="13"/>
  </w:num>
  <w:num w:numId="21" w16cid:durableId="286353489">
    <w:abstractNumId w:val="4"/>
  </w:num>
  <w:num w:numId="22" w16cid:durableId="970746566">
    <w:abstractNumId w:val="5"/>
  </w:num>
  <w:num w:numId="23" w16cid:durableId="1718897347">
    <w:abstractNumId w:val="8"/>
  </w:num>
  <w:num w:numId="24" w16cid:durableId="179970229">
    <w:abstractNumId w:val="7"/>
  </w:num>
  <w:num w:numId="25" w16cid:durableId="1339965257">
    <w:abstractNumId w:val="6"/>
  </w:num>
  <w:num w:numId="26" w16cid:durableId="636300679">
    <w:abstractNumId w:val="18"/>
  </w:num>
  <w:num w:numId="27" w16cid:durableId="69458140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proofState w:spelling="clean" w:grammar="clean"/>
  <w:stylePaneSortMethod w:val="0003"/>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D4C11"/>
    <w:rsid w:val="0000286D"/>
    <w:rsid w:val="0000555E"/>
    <w:rsid w:val="00012036"/>
    <w:rsid w:val="0001243A"/>
    <w:rsid w:val="000173DB"/>
    <w:rsid w:val="000250F2"/>
    <w:rsid w:val="000333CA"/>
    <w:rsid w:val="00034BFB"/>
    <w:rsid w:val="00042296"/>
    <w:rsid w:val="00042E6C"/>
    <w:rsid w:val="000456F3"/>
    <w:rsid w:val="0005091C"/>
    <w:rsid w:val="00050C40"/>
    <w:rsid w:val="000566C3"/>
    <w:rsid w:val="000734A1"/>
    <w:rsid w:val="00074608"/>
    <w:rsid w:val="000749A9"/>
    <w:rsid w:val="00076E96"/>
    <w:rsid w:val="00081698"/>
    <w:rsid w:val="00081EDD"/>
    <w:rsid w:val="0008603B"/>
    <w:rsid w:val="0009398B"/>
    <w:rsid w:val="00097323"/>
    <w:rsid w:val="000B1D87"/>
    <w:rsid w:val="000B5BBC"/>
    <w:rsid w:val="000B5C5E"/>
    <w:rsid w:val="000C6906"/>
    <w:rsid w:val="000D1C1D"/>
    <w:rsid w:val="000D1C4E"/>
    <w:rsid w:val="000D2465"/>
    <w:rsid w:val="000D5373"/>
    <w:rsid w:val="000D60E6"/>
    <w:rsid w:val="000E0575"/>
    <w:rsid w:val="000E2033"/>
    <w:rsid w:val="000E3440"/>
    <w:rsid w:val="000E7BDB"/>
    <w:rsid w:val="000F1767"/>
    <w:rsid w:val="000F73EC"/>
    <w:rsid w:val="00104379"/>
    <w:rsid w:val="00107559"/>
    <w:rsid w:val="00114EAC"/>
    <w:rsid w:val="00126DCF"/>
    <w:rsid w:val="00130D53"/>
    <w:rsid w:val="00135881"/>
    <w:rsid w:val="00142427"/>
    <w:rsid w:val="00151F2F"/>
    <w:rsid w:val="00156BBA"/>
    <w:rsid w:val="00157A08"/>
    <w:rsid w:val="001604AB"/>
    <w:rsid w:val="001618B9"/>
    <w:rsid w:val="001649AE"/>
    <w:rsid w:val="001661B2"/>
    <w:rsid w:val="00167495"/>
    <w:rsid w:val="00172C63"/>
    <w:rsid w:val="001751E0"/>
    <w:rsid w:val="0017712D"/>
    <w:rsid w:val="0019181F"/>
    <w:rsid w:val="00191E3C"/>
    <w:rsid w:val="001B57B9"/>
    <w:rsid w:val="001C69B6"/>
    <w:rsid w:val="001D2D4C"/>
    <w:rsid w:val="001D480F"/>
    <w:rsid w:val="001D4ABB"/>
    <w:rsid w:val="001D4C11"/>
    <w:rsid w:val="001E0747"/>
    <w:rsid w:val="001E2BED"/>
    <w:rsid w:val="001E4514"/>
    <w:rsid w:val="001E49A5"/>
    <w:rsid w:val="001E6D73"/>
    <w:rsid w:val="001E7C49"/>
    <w:rsid w:val="001F3717"/>
    <w:rsid w:val="001F57E7"/>
    <w:rsid w:val="0020216D"/>
    <w:rsid w:val="002027F0"/>
    <w:rsid w:val="00202A36"/>
    <w:rsid w:val="0020517F"/>
    <w:rsid w:val="00205A41"/>
    <w:rsid w:val="00205ECF"/>
    <w:rsid w:val="00210850"/>
    <w:rsid w:val="00225633"/>
    <w:rsid w:val="00231784"/>
    <w:rsid w:val="00232776"/>
    <w:rsid w:val="002338A3"/>
    <w:rsid w:val="002379F5"/>
    <w:rsid w:val="00246F81"/>
    <w:rsid w:val="00254689"/>
    <w:rsid w:val="00260E79"/>
    <w:rsid w:val="00267B52"/>
    <w:rsid w:val="002871C9"/>
    <w:rsid w:val="00293E5E"/>
    <w:rsid w:val="00297BB1"/>
    <w:rsid w:val="002A01B6"/>
    <w:rsid w:val="002A1C9C"/>
    <w:rsid w:val="002A2B7A"/>
    <w:rsid w:val="002A2F25"/>
    <w:rsid w:val="002A37C1"/>
    <w:rsid w:val="002A5232"/>
    <w:rsid w:val="002B1689"/>
    <w:rsid w:val="002B4F0B"/>
    <w:rsid w:val="002C0395"/>
    <w:rsid w:val="002C06D9"/>
    <w:rsid w:val="002C0782"/>
    <w:rsid w:val="002C3A5D"/>
    <w:rsid w:val="002C4672"/>
    <w:rsid w:val="002D2CDA"/>
    <w:rsid w:val="002D3F9A"/>
    <w:rsid w:val="002D4481"/>
    <w:rsid w:val="002E0081"/>
    <w:rsid w:val="002E31B7"/>
    <w:rsid w:val="002E60D1"/>
    <w:rsid w:val="002F06A2"/>
    <w:rsid w:val="0030264F"/>
    <w:rsid w:val="00306FA8"/>
    <w:rsid w:val="00313D61"/>
    <w:rsid w:val="00326D28"/>
    <w:rsid w:val="00336E77"/>
    <w:rsid w:val="00340DEC"/>
    <w:rsid w:val="00341356"/>
    <w:rsid w:val="0036412F"/>
    <w:rsid w:val="00367312"/>
    <w:rsid w:val="003725DC"/>
    <w:rsid w:val="00374996"/>
    <w:rsid w:val="0038234A"/>
    <w:rsid w:val="003835EE"/>
    <w:rsid w:val="00385A60"/>
    <w:rsid w:val="003A0B17"/>
    <w:rsid w:val="003A5216"/>
    <w:rsid w:val="003A569A"/>
    <w:rsid w:val="003A6D8A"/>
    <w:rsid w:val="003B74CA"/>
    <w:rsid w:val="003D608E"/>
    <w:rsid w:val="003E0536"/>
    <w:rsid w:val="003E111C"/>
    <w:rsid w:val="003E3880"/>
    <w:rsid w:val="00402279"/>
    <w:rsid w:val="00403B3C"/>
    <w:rsid w:val="00407EFD"/>
    <w:rsid w:val="00414049"/>
    <w:rsid w:val="00416808"/>
    <w:rsid w:val="00416F90"/>
    <w:rsid w:val="004253F4"/>
    <w:rsid w:val="00430C45"/>
    <w:rsid w:val="00436170"/>
    <w:rsid w:val="00436ADC"/>
    <w:rsid w:val="00447FF7"/>
    <w:rsid w:val="0045147C"/>
    <w:rsid w:val="00455B53"/>
    <w:rsid w:val="00465528"/>
    <w:rsid w:val="00467D50"/>
    <w:rsid w:val="00470C56"/>
    <w:rsid w:val="00474C15"/>
    <w:rsid w:val="0047752D"/>
    <w:rsid w:val="00491DC5"/>
    <w:rsid w:val="00492750"/>
    <w:rsid w:val="004930A0"/>
    <w:rsid w:val="00495C41"/>
    <w:rsid w:val="00497B7C"/>
    <w:rsid w:val="00497FA8"/>
    <w:rsid w:val="004A0124"/>
    <w:rsid w:val="004A4E64"/>
    <w:rsid w:val="004A5DA8"/>
    <w:rsid w:val="004B06EB"/>
    <w:rsid w:val="004C1DFF"/>
    <w:rsid w:val="004C2883"/>
    <w:rsid w:val="004C5FA5"/>
    <w:rsid w:val="004E58F1"/>
    <w:rsid w:val="004E7C48"/>
    <w:rsid w:val="004F1373"/>
    <w:rsid w:val="004F3E30"/>
    <w:rsid w:val="004F3E5C"/>
    <w:rsid w:val="00502989"/>
    <w:rsid w:val="005068EA"/>
    <w:rsid w:val="00506E71"/>
    <w:rsid w:val="00515E7B"/>
    <w:rsid w:val="005225D4"/>
    <w:rsid w:val="00525C81"/>
    <w:rsid w:val="005269F6"/>
    <w:rsid w:val="00531A27"/>
    <w:rsid w:val="005330ED"/>
    <w:rsid w:val="00536D6F"/>
    <w:rsid w:val="0054094A"/>
    <w:rsid w:val="005572A7"/>
    <w:rsid w:val="00561490"/>
    <w:rsid w:val="00561C8C"/>
    <w:rsid w:val="00563EAF"/>
    <w:rsid w:val="005659DD"/>
    <w:rsid w:val="005674EA"/>
    <w:rsid w:val="0056787F"/>
    <w:rsid w:val="00576A5F"/>
    <w:rsid w:val="00582EF0"/>
    <w:rsid w:val="00583FF4"/>
    <w:rsid w:val="00584900"/>
    <w:rsid w:val="0059007B"/>
    <w:rsid w:val="00592A3B"/>
    <w:rsid w:val="005A1A14"/>
    <w:rsid w:val="005B4B5C"/>
    <w:rsid w:val="005B54F5"/>
    <w:rsid w:val="005C03D0"/>
    <w:rsid w:val="005C0E81"/>
    <w:rsid w:val="005C1556"/>
    <w:rsid w:val="005C2ADD"/>
    <w:rsid w:val="005C4A9B"/>
    <w:rsid w:val="005C77E4"/>
    <w:rsid w:val="005D25DA"/>
    <w:rsid w:val="005D5890"/>
    <w:rsid w:val="005E531B"/>
    <w:rsid w:val="005E6AC0"/>
    <w:rsid w:val="005E7B11"/>
    <w:rsid w:val="005F32FA"/>
    <w:rsid w:val="005F52C2"/>
    <w:rsid w:val="00603E0E"/>
    <w:rsid w:val="006041C3"/>
    <w:rsid w:val="0060701A"/>
    <w:rsid w:val="0062322B"/>
    <w:rsid w:val="00626018"/>
    <w:rsid w:val="0063161C"/>
    <w:rsid w:val="00642C6D"/>
    <w:rsid w:val="0065253D"/>
    <w:rsid w:val="00653A28"/>
    <w:rsid w:val="006571D6"/>
    <w:rsid w:val="00660C1B"/>
    <w:rsid w:val="006706C7"/>
    <w:rsid w:val="006713DA"/>
    <w:rsid w:val="00675993"/>
    <w:rsid w:val="006869D0"/>
    <w:rsid w:val="00690D7C"/>
    <w:rsid w:val="00696E9B"/>
    <w:rsid w:val="006A5B0D"/>
    <w:rsid w:val="006B0FAC"/>
    <w:rsid w:val="006B1ABA"/>
    <w:rsid w:val="006C2AF3"/>
    <w:rsid w:val="006C2C04"/>
    <w:rsid w:val="006D0144"/>
    <w:rsid w:val="006D78A9"/>
    <w:rsid w:val="006E20EE"/>
    <w:rsid w:val="006E7628"/>
    <w:rsid w:val="006E7A9C"/>
    <w:rsid w:val="006F25EE"/>
    <w:rsid w:val="006F6540"/>
    <w:rsid w:val="006F7A28"/>
    <w:rsid w:val="0070523E"/>
    <w:rsid w:val="007060E9"/>
    <w:rsid w:val="00711D48"/>
    <w:rsid w:val="00712AC9"/>
    <w:rsid w:val="00713177"/>
    <w:rsid w:val="00714C59"/>
    <w:rsid w:val="007267F9"/>
    <w:rsid w:val="00730090"/>
    <w:rsid w:val="007344E6"/>
    <w:rsid w:val="00736BB3"/>
    <w:rsid w:val="007428DA"/>
    <w:rsid w:val="00742FBE"/>
    <w:rsid w:val="00743503"/>
    <w:rsid w:val="0075353A"/>
    <w:rsid w:val="00754735"/>
    <w:rsid w:val="007640BA"/>
    <w:rsid w:val="00765942"/>
    <w:rsid w:val="00774D2A"/>
    <w:rsid w:val="00775CBD"/>
    <w:rsid w:val="00780442"/>
    <w:rsid w:val="00790569"/>
    <w:rsid w:val="007952BA"/>
    <w:rsid w:val="00796D27"/>
    <w:rsid w:val="0079705F"/>
    <w:rsid w:val="007A57A3"/>
    <w:rsid w:val="007A6BB9"/>
    <w:rsid w:val="007B4264"/>
    <w:rsid w:val="007B5134"/>
    <w:rsid w:val="007C356E"/>
    <w:rsid w:val="007C35CA"/>
    <w:rsid w:val="007C399E"/>
    <w:rsid w:val="007C4ABD"/>
    <w:rsid w:val="007D29F2"/>
    <w:rsid w:val="007E0C62"/>
    <w:rsid w:val="007F326F"/>
    <w:rsid w:val="007F4A48"/>
    <w:rsid w:val="007F5917"/>
    <w:rsid w:val="008050B9"/>
    <w:rsid w:val="0081096F"/>
    <w:rsid w:val="0081569D"/>
    <w:rsid w:val="0082152E"/>
    <w:rsid w:val="008338A4"/>
    <w:rsid w:val="0083471F"/>
    <w:rsid w:val="0083601F"/>
    <w:rsid w:val="008408BE"/>
    <w:rsid w:val="008654CC"/>
    <w:rsid w:val="008755DF"/>
    <w:rsid w:val="0087560B"/>
    <w:rsid w:val="00877981"/>
    <w:rsid w:val="00891384"/>
    <w:rsid w:val="008B405A"/>
    <w:rsid w:val="008B5CEE"/>
    <w:rsid w:val="008B6F88"/>
    <w:rsid w:val="008D16C7"/>
    <w:rsid w:val="008D239F"/>
    <w:rsid w:val="008D7D1A"/>
    <w:rsid w:val="008E0B82"/>
    <w:rsid w:val="008E5A7E"/>
    <w:rsid w:val="008F2A3C"/>
    <w:rsid w:val="008F65FA"/>
    <w:rsid w:val="00905A27"/>
    <w:rsid w:val="00915E85"/>
    <w:rsid w:val="00925604"/>
    <w:rsid w:val="0093285B"/>
    <w:rsid w:val="00933A48"/>
    <w:rsid w:val="009343F4"/>
    <w:rsid w:val="00934A8C"/>
    <w:rsid w:val="00940E86"/>
    <w:rsid w:val="00944D8D"/>
    <w:rsid w:val="009453C3"/>
    <w:rsid w:val="00954B07"/>
    <w:rsid w:val="00961B98"/>
    <w:rsid w:val="00971BD4"/>
    <w:rsid w:val="00980892"/>
    <w:rsid w:val="009829BF"/>
    <w:rsid w:val="009A2C0B"/>
    <w:rsid w:val="009A449E"/>
    <w:rsid w:val="009A73F0"/>
    <w:rsid w:val="009C2D86"/>
    <w:rsid w:val="009C4FF9"/>
    <w:rsid w:val="009C773E"/>
    <w:rsid w:val="009C7ADB"/>
    <w:rsid w:val="009D3D9A"/>
    <w:rsid w:val="009D6022"/>
    <w:rsid w:val="009E1AD8"/>
    <w:rsid w:val="009E3629"/>
    <w:rsid w:val="009E4891"/>
    <w:rsid w:val="009F2048"/>
    <w:rsid w:val="009F4D34"/>
    <w:rsid w:val="009F683A"/>
    <w:rsid w:val="00A0169E"/>
    <w:rsid w:val="00A11158"/>
    <w:rsid w:val="00A14862"/>
    <w:rsid w:val="00A17F20"/>
    <w:rsid w:val="00A2521B"/>
    <w:rsid w:val="00A31CB1"/>
    <w:rsid w:val="00A33D60"/>
    <w:rsid w:val="00A5622F"/>
    <w:rsid w:val="00A56382"/>
    <w:rsid w:val="00A60543"/>
    <w:rsid w:val="00A605BB"/>
    <w:rsid w:val="00A6094F"/>
    <w:rsid w:val="00A62DC6"/>
    <w:rsid w:val="00A634EF"/>
    <w:rsid w:val="00A76496"/>
    <w:rsid w:val="00A767AA"/>
    <w:rsid w:val="00A7789D"/>
    <w:rsid w:val="00A90744"/>
    <w:rsid w:val="00AA31C9"/>
    <w:rsid w:val="00AB1135"/>
    <w:rsid w:val="00AB1479"/>
    <w:rsid w:val="00AB55ED"/>
    <w:rsid w:val="00AB7257"/>
    <w:rsid w:val="00AC408E"/>
    <w:rsid w:val="00AC76D4"/>
    <w:rsid w:val="00AC79C8"/>
    <w:rsid w:val="00AD42FD"/>
    <w:rsid w:val="00AD4336"/>
    <w:rsid w:val="00AD4BD3"/>
    <w:rsid w:val="00AD5073"/>
    <w:rsid w:val="00AD72BC"/>
    <w:rsid w:val="00AE1643"/>
    <w:rsid w:val="00AE29CF"/>
    <w:rsid w:val="00AE4C6F"/>
    <w:rsid w:val="00AF1BFF"/>
    <w:rsid w:val="00AF2F37"/>
    <w:rsid w:val="00B01EA5"/>
    <w:rsid w:val="00B0241F"/>
    <w:rsid w:val="00B1111C"/>
    <w:rsid w:val="00B131C0"/>
    <w:rsid w:val="00B20BEB"/>
    <w:rsid w:val="00B243C5"/>
    <w:rsid w:val="00B27E10"/>
    <w:rsid w:val="00B3247B"/>
    <w:rsid w:val="00B404BE"/>
    <w:rsid w:val="00B477B2"/>
    <w:rsid w:val="00B53B3D"/>
    <w:rsid w:val="00B55089"/>
    <w:rsid w:val="00B57165"/>
    <w:rsid w:val="00B631EC"/>
    <w:rsid w:val="00B77184"/>
    <w:rsid w:val="00B85F42"/>
    <w:rsid w:val="00B85FCF"/>
    <w:rsid w:val="00B92611"/>
    <w:rsid w:val="00B9623E"/>
    <w:rsid w:val="00B96F39"/>
    <w:rsid w:val="00BA35E7"/>
    <w:rsid w:val="00BA5BDD"/>
    <w:rsid w:val="00BC17DD"/>
    <w:rsid w:val="00BC30A0"/>
    <w:rsid w:val="00BC783E"/>
    <w:rsid w:val="00BD1155"/>
    <w:rsid w:val="00BD7EC0"/>
    <w:rsid w:val="00BE3C1F"/>
    <w:rsid w:val="00BF18CA"/>
    <w:rsid w:val="00C03090"/>
    <w:rsid w:val="00C05639"/>
    <w:rsid w:val="00C1101E"/>
    <w:rsid w:val="00C26580"/>
    <w:rsid w:val="00C37581"/>
    <w:rsid w:val="00C43D6C"/>
    <w:rsid w:val="00C44EF4"/>
    <w:rsid w:val="00C4666C"/>
    <w:rsid w:val="00C50E95"/>
    <w:rsid w:val="00C5696D"/>
    <w:rsid w:val="00C65703"/>
    <w:rsid w:val="00C82AFB"/>
    <w:rsid w:val="00CA0998"/>
    <w:rsid w:val="00CB7E6A"/>
    <w:rsid w:val="00CE1EF6"/>
    <w:rsid w:val="00CE25F2"/>
    <w:rsid w:val="00CE2A57"/>
    <w:rsid w:val="00CE38F2"/>
    <w:rsid w:val="00CE446D"/>
    <w:rsid w:val="00CE6F4F"/>
    <w:rsid w:val="00CF3A46"/>
    <w:rsid w:val="00CF6689"/>
    <w:rsid w:val="00CF755C"/>
    <w:rsid w:val="00D06533"/>
    <w:rsid w:val="00D07B7D"/>
    <w:rsid w:val="00D111C6"/>
    <w:rsid w:val="00D1131C"/>
    <w:rsid w:val="00D15A17"/>
    <w:rsid w:val="00D16701"/>
    <w:rsid w:val="00D17F7E"/>
    <w:rsid w:val="00D2349B"/>
    <w:rsid w:val="00D30766"/>
    <w:rsid w:val="00D46867"/>
    <w:rsid w:val="00D52905"/>
    <w:rsid w:val="00D56499"/>
    <w:rsid w:val="00D62EB4"/>
    <w:rsid w:val="00D638B3"/>
    <w:rsid w:val="00D77DD6"/>
    <w:rsid w:val="00D804AF"/>
    <w:rsid w:val="00D9572D"/>
    <w:rsid w:val="00DA5EC4"/>
    <w:rsid w:val="00DA7FF7"/>
    <w:rsid w:val="00DB01B9"/>
    <w:rsid w:val="00DC10BA"/>
    <w:rsid w:val="00DC3D84"/>
    <w:rsid w:val="00DD6D16"/>
    <w:rsid w:val="00DE4C0C"/>
    <w:rsid w:val="00DE4EE4"/>
    <w:rsid w:val="00DF65EA"/>
    <w:rsid w:val="00E045A4"/>
    <w:rsid w:val="00E10E5D"/>
    <w:rsid w:val="00E136F4"/>
    <w:rsid w:val="00E21979"/>
    <w:rsid w:val="00E31A17"/>
    <w:rsid w:val="00E354BB"/>
    <w:rsid w:val="00E4091A"/>
    <w:rsid w:val="00E50446"/>
    <w:rsid w:val="00E54152"/>
    <w:rsid w:val="00E56F7E"/>
    <w:rsid w:val="00E604C7"/>
    <w:rsid w:val="00E64B97"/>
    <w:rsid w:val="00E67787"/>
    <w:rsid w:val="00E801D6"/>
    <w:rsid w:val="00EA1D93"/>
    <w:rsid w:val="00EA212B"/>
    <w:rsid w:val="00EA4E07"/>
    <w:rsid w:val="00EB731F"/>
    <w:rsid w:val="00EB7BBA"/>
    <w:rsid w:val="00ED091D"/>
    <w:rsid w:val="00ED21C4"/>
    <w:rsid w:val="00ED296E"/>
    <w:rsid w:val="00EE247B"/>
    <w:rsid w:val="00EE3F9E"/>
    <w:rsid w:val="00EF5DEF"/>
    <w:rsid w:val="00F0052D"/>
    <w:rsid w:val="00F11893"/>
    <w:rsid w:val="00F13297"/>
    <w:rsid w:val="00F17680"/>
    <w:rsid w:val="00F21C5E"/>
    <w:rsid w:val="00F23ADD"/>
    <w:rsid w:val="00F24580"/>
    <w:rsid w:val="00F25CF6"/>
    <w:rsid w:val="00F26BDD"/>
    <w:rsid w:val="00F31AD1"/>
    <w:rsid w:val="00F31BCF"/>
    <w:rsid w:val="00F3758E"/>
    <w:rsid w:val="00F40C58"/>
    <w:rsid w:val="00F43D93"/>
    <w:rsid w:val="00F47F50"/>
    <w:rsid w:val="00F50D4A"/>
    <w:rsid w:val="00F538C8"/>
    <w:rsid w:val="00F56FD4"/>
    <w:rsid w:val="00F6016A"/>
    <w:rsid w:val="00F62AE5"/>
    <w:rsid w:val="00F73255"/>
    <w:rsid w:val="00F74356"/>
    <w:rsid w:val="00F81AB9"/>
    <w:rsid w:val="00FA0A12"/>
    <w:rsid w:val="00FA6EEB"/>
    <w:rsid w:val="00FA7641"/>
    <w:rsid w:val="00FB7AC1"/>
    <w:rsid w:val="00FC6D19"/>
    <w:rsid w:val="00FF41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67"/>
    <w:pPr>
      <w:spacing w:after="240" w:line="252" w:lineRule="auto"/>
    </w:pPr>
    <w:rPr>
      <w:rFonts w:cstheme="minorHAnsi"/>
      <w:sz w:val="22"/>
    </w:rPr>
  </w:style>
  <w:style w:type="paragraph" w:styleId="Heading1">
    <w:name w:val="heading 1"/>
    <w:basedOn w:val="Normal"/>
    <w:next w:val="HeadingSpacer"/>
    <w:link w:val="Heading1Char"/>
    <w:uiPriority w:val="9"/>
    <w:qFormat/>
    <w:rsid w:val="00474C15"/>
    <w:pPr>
      <w:keepNext/>
      <w:keepLines/>
      <w:pBdr>
        <w:left w:val="single" w:sz="48" w:space="15" w:color="22A9D0" w:themeColor="accent3"/>
      </w:pBdr>
      <w:spacing w:before="360" w:after="120" w:line="192" w:lineRule="auto"/>
      <w:outlineLvl w:val="0"/>
    </w:pPr>
    <w:rPr>
      <w:rFonts w:ascii="Arial Black" w:eastAsiaTheme="majorEastAsia" w:hAnsi="Arial Black" w:cstheme="majorBidi"/>
      <w:b/>
      <w:bCs/>
      <w:color w:val="041E42"/>
      <w:spacing w:val="-10"/>
      <w:sz w:val="44"/>
      <w:szCs w:val="32"/>
    </w:rPr>
  </w:style>
  <w:style w:type="paragraph" w:styleId="Heading2">
    <w:name w:val="heading 2"/>
    <w:basedOn w:val="Normal"/>
    <w:next w:val="Normal"/>
    <w:link w:val="Heading2Char"/>
    <w:uiPriority w:val="9"/>
    <w:unhideWhenUsed/>
    <w:qFormat/>
    <w:rsid w:val="00944D8D"/>
    <w:pPr>
      <w:keepNext/>
      <w:keepLines/>
      <w:pBdr>
        <w:bottom w:val="single" w:sz="24" w:space="2" w:color="041E42"/>
      </w:pBdr>
      <w:spacing w:before="240"/>
      <w:outlineLvl w:val="1"/>
    </w:pPr>
    <w:rPr>
      <w:rFonts w:ascii="Arial Black" w:eastAsiaTheme="majorEastAsia" w:hAnsi="Arial Black" w:cstheme="majorBidi"/>
      <w:b/>
      <w:bCs/>
      <w:color w:val="041E42"/>
      <w:spacing w:val="-6"/>
      <w:sz w:val="32"/>
      <w:szCs w:val="26"/>
    </w:rPr>
  </w:style>
  <w:style w:type="paragraph" w:styleId="Heading3">
    <w:name w:val="heading 3"/>
    <w:basedOn w:val="Normal"/>
    <w:next w:val="Normal"/>
    <w:link w:val="Heading3Char"/>
    <w:uiPriority w:val="9"/>
    <w:unhideWhenUsed/>
    <w:qFormat/>
    <w:rsid w:val="00191E3C"/>
    <w:pPr>
      <w:keepNext/>
      <w:keepLines/>
      <w:spacing w:before="120" w:after="40"/>
      <w:outlineLvl w:val="2"/>
    </w:pPr>
    <w:rPr>
      <w:rFonts w:eastAsiaTheme="majorEastAsia" w:cstheme="majorBidi"/>
      <w:b/>
      <w:color w:val="041E41"/>
      <w:spacing w:val="6"/>
      <w:sz w:val="28"/>
    </w:rPr>
  </w:style>
  <w:style w:type="paragraph" w:styleId="Heading4">
    <w:name w:val="heading 4"/>
    <w:basedOn w:val="Normal"/>
    <w:next w:val="Normal"/>
    <w:link w:val="Heading4Char"/>
    <w:uiPriority w:val="9"/>
    <w:unhideWhenUsed/>
    <w:qFormat/>
    <w:rsid w:val="00944D8D"/>
    <w:pPr>
      <w:keepNext/>
      <w:keepLines/>
      <w:spacing w:before="40" w:after="0"/>
      <w:outlineLvl w:val="3"/>
    </w:pPr>
    <w:rPr>
      <w:rFonts w:eastAsiaTheme="majorEastAsia" w:cstheme="majorBidi"/>
      <w:b/>
      <w:i/>
      <w:iCs/>
      <w:color w:val="007FAA" w:themeColor="accent2"/>
      <w:sz w:val="24"/>
    </w:rPr>
  </w:style>
  <w:style w:type="paragraph" w:styleId="Heading5">
    <w:name w:val="heading 5"/>
    <w:basedOn w:val="Normal"/>
    <w:next w:val="Normal"/>
    <w:link w:val="Heading5Char"/>
    <w:uiPriority w:val="9"/>
    <w:unhideWhenUsed/>
    <w:qFormat/>
    <w:rsid w:val="004C1DFF"/>
    <w:pPr>
      <w:keepNext/>
      <w:keepLines/>
      <w:spacing w:before="40" w:after="0"/>
      <w:outlineLvl w:val="4"/>
    </w:pPr>
    <w:rPr>
      <w:rFonts w:asciiTheme="majorHAnsi" w:eastAsiaTheme="majorEastAsia" w:hAnsiTheme="majorHAnsi" w:cstheme="majorBidi"/>
      <w:color w:val="0316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7"/>
      </w:numPr>
      <w:tabs>
        <w:tab w:val="left" w:pos="360"/>
        <w:tab w:val="left" w:pos="720"/>
        <w:tab w:val="left" w:pos="1080"/>
        <w:tab w:val="left" w:pos="1440"/>
      </w:tabs>
      <w:ind w:left="360"/>
    </w:pPr>
  </w:style>
  <w:style w:type="numbering" w:customStyle="1" w:styleId="ListMultitier">
    <w:name w:val="List Multitier"/>
    <w:uiPriority w:val="99"/>
    <w:rsid w:val="0005091C"/>
    <w:pPr>
      <w:numPr>
        <w:numId w:val="8"/>
      </w:numPr>
    </w:pPr>
  </w:style>
  <w:style w:type="character" w:customStyle="1" w:styleId="Heading1Char">
    <w:name w:val="Heading 1 Char"/>
    <w:basedOn w:val="DefaultParagraphFont"/>
    <w:link w:val="Heading1"/>
    <w:uiPriority w:val="9"/>
    <w:rsid w:val="00474C15"/>
    <w:rPr>
      <w:rFonts w:ascii="Arial Black" w:eastAsiaTheme="majorEastAsia" w:hAnsi="Arial Black" w:cstheme="majorBidi"/>
      <w:b/>
      <w:bCs/>
      <w:color w:val="041E42"/>
      <w:spacing w:val="-10"/>
      <w:sz w:val="44"/>
      <w:szCs w:val="32"/>
    </w:rPr>
  </w:style>
  <w:style w:type="character" w:customStyle="1" w:styleId="Heading2Char">
    <w:name w:val="Heading 2 Char"/>
    <w:basedOn w:val="DefaultParagraphFont"/>
    <w:link w:val="Heading2"/>
    <w:uiPriority w:val="9"/>
    <w:rsid w:val="00944D8D"/>
    <w:rPr>
      <w:rFonts w:ascii="Arial Black" w:eastAsiaTheme="majorEastAsia" w:hAnsi="Arial Black" w:cstheme="majorBidi"/>
      <w:b/>
      <w:bCs/>
      <w:color w:val="041E42"/>
      <w:spacing w:val="-6"/>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A14862"/>
    <w:pPr>
      <w:spacing w:before="120" w:after="0"/>
    </w:pPr>
    <w:rPr>
      <w:b/>
      <w:bCs/>
      <w:color w:val="041E42"/>
    </w:rPr>
  </w:style>
  <w:style w:type="paragraph" w:styleId="TOC2">
    <w:name w:val="toc 2"/>
    <w:basedOn w:val="Normal"/>
    <w:next w:val="Normal"/>
    <w:autoRedefine/>
    <w:uiPriority w:val="39"/>
    <w:unhideWhenUsed/>
    <w:rsid w:val="00BE3C1F"/>
    <w:pPr>
      <w:tabs>
        <w:tab w:val="left" w:pos="360"/>
        <w:tab w:val="right" w:leader="dot" w:pos="9350"/>
      </w:tabs>
      <w:spacing w:after="0"/>
      <w:ind w:left="360"/>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link w:val="ListParagraphChar"/>
    <w:uiPriority w:val="34"/>
    <w:qFormat/>
    <w:rsid w:val="00592A3B"/>
    <w:pPr>
      <w:numPr>
        <w:numId w:val="6"/>
      </w:numPr>
      <w:ind w:left="360"/>
      <w:contextualSpacing/>
    </w:pPr>
  </w:style>
  <w:style w:type="character" w:styleId="Hyperlink">
    <w:name w:val="Hyperlink"/>
    <w:basedOn w:val="DefaultParagraphFont"/>
    <w:uiPriority w:val="99"/>
    <w:unhideWhenUsed/>
    <w:rsid w:val="006706C7"/>
    <w:rPr>
      <w:color w:val="041E41" w:themeColor="text2"/>
      <w:u w:val="single"/>
    </w:rPr>
  </w:style>
  <w:style w:type="character" w:customStyle="1" w:styleId="Heading3Char">
    <w:name w:val="Heading 3 Char"/>
    <w:basedOn w:val="DefaultParagraphFont"/>
    <w:link w:val="Heading3"/>
    <w:uiPriority w:val="9"/>
    <w:rsid w:val="00191E3C"/>
    <w:rPr>
      <w:rFonts w:eastAsiaTheme="majorEastAsia" w:cstheme="majorBidi"/>
      <w:b/>
      <w:color w:val="041E41"/>
      <w:spacing w:val="6"/>
      <w:sz w:val="28"/>
    </w:rPr>
  </w:style>
  <w:style w:type="character" w:customStyle="1" w:styleId="Heading4Char">
    <w:name w:val="Heading 4 Char"/>
    <w:basedOn w:val="DefaultParagraphFont"/>
    <w:link w:val="Heading4"/>
    <w:uiPriority w:val="9"/>
    <w:rsid w:val="00944D8D"/>
    <w:rPr>
      <w:rFonts w:eastAsiaTheme="majorEastAsia" w:cstheme="majorBidi"/>
      <w:b/>
      <w:i/>
      <w:iCs/>
      <w:color w:val="007FAA" w:themeColor="accent2"/>
    </w:rPr>
  </w:style>
  <w:style w:type="paragraph" w:customStyle="1" w:styleId="ListParagraphwithbottompadding">
    <w:name w:val="List Paragraph (with bottom padding)"/>
    <w:basedOn w:val="ListParagraph"/>
    <w:qFormat/>
    <w:rsid w:val="001661B2"/>
    <w:pPr>
      <w:contextualSpacing w:val="0"/>
    </w:pPr>
  </w:style>
  <w:style w:type="paragraph" w:styleId="ListNumber">
    <w:name w:val="List Number"/>
    <w:basedOn w:val="BodyText"/>
    <w:uiPriority w:val="99"/>
    <w:unhideWhenUsed/>
    <w:rsid w:val="006F7A28"/>
    <w:pPr>
      <w:numPr>
        <w:ilvl w:val="1"/>
        <w:numId w:val="12"/>
      </w:numPr>
      <w:contextualSpacing/>
    </w:pPr>
  </w:style>
  <w:style w:type="numbering" w:customStyle="1" w:styleId="Style1">
    <w:name w:val="Style1"/>
    <w:uiPriority w:val="99"/>
    <w:rsid w:val="00B85FCF"/>
    <w:pPr>
      <w:numPr>
        <w:numId w:val="5"/>
      </w:numPr>
    </w:pPr>
  </w:style>
  <w:style w:type="paragraph" w:styleId="Title">
    <w:name w:val="Title"/>
    <w:next w:val="Normal"/>
    <w:link w:val="TitleChar"/>
    <w:uiPriority w:val="10"/>
    <w:qFormat/>
    <w:rsid w:val="00191E3C"/>
    <w:pPr>
      <w:spacing w:line="180" w:lineRule="auto"/>
      <w:contextualSpacing/>
    </w:pPr>
    <w:rPr>
      <w:rFonts w:ascii="Arial Black" w:eastAsiaTheme="majorEastAsia" w:hAnsi="Arial Black" w:cstheme="majorBidi"/>
      <w:color w:val="041E41" w:themeColor="text2"/>
      <w:spacing w:val="-10"/>
      <w:kern w:val="28"/>
      <w:sz w:val="56"/>
      <w:szCs w:val="56"/>
    </w:rPr>
  </w:style>
  <w:style w:type="character" w:customStyle="1" w:styleId="TitleChar">
    <w:name w:val="Title Char"/>
    <w:basedOn w:val="DefaultParagraphFont"/>
    <w:link w:val="Title"/>
    <w:uiPriority w:val="10"/>
    <w:rsid w:val="00191E3C"/>
    <w:rPr>
      <w:rFonts w:ascii="Arial Black" w:eastAsiaTheme="majorEastAsia" w:hAnsi="Arial Black" w:cstheme="majorBidi"/>
      <w:color w:val="041E41" w:themeColor="text2"/>
      <w:spacing w:val="-10"/>
      <w:kern w:val="28"/>
      <w:sz w:val="56"/>
      <w:szCs w:val="56"/>
    </w:rPr>
  </w:style>
  <w:style w:type="character" w:customStyle="1" w:styleId="PublicationDate">
    <w:name w:val="Publication Date"/>
    <w:basedOn w:val="DefaultParagraphFont"/>
    <w:uiPriority w:val="1"/>
    <w:rsid w:val="005068EA"/>
    <w:rPr>
      <w:rFonts w:asciiTheme="minorHAnsi" w:hAnsiTheme="minorHAnsi"/>
      <w:b w:val="0"/>
      <w:sz w:val="28"/>
    </w:rPr>
  </w:style>
  <w:style w:type="paragraph" w:styleId="FootnoteText">
    <w:name w:val="footnote text"/>
    <w:basedOn w:val="Normal"/>
    <w:link w:val="FootnoteTextChar"/>
    <w:uiPriority w:val="99"/>
    <w:unhideWhenUsed/>
    <w:rsid w:val="001F57E7"/>
    <w:rPr>
      <w:rFonts w:ascii="Calibri Light" w:hAnsi="Calibri Light"/>
      <w:sz w:val="20"/>
      <w:szCs w:val="20"/>
    </w:rPr>
  </w:style>
  <w:style w:type="character" w:customStyle="1" w:styleId="FootnoteTextChar">
    <w:name w:val="Footnote Text Char"/>
    <w:basedOn w:val="DefaultParagraphFont"/>
    <w:link w:val="FootnoteText"/>
    <w:uiPriority w:val="99"/>
    <w:rsid w:val="001F57E7"/>
    <w:rPr>
      <w:rFonts w:ascii="Calibri Light" w:hAnsi="Calibri Light"/>
      <w:sz w:val="20"/>
      <w:szCs w:val="20"/>
    </w:rPr>
  </w:style>
  <w:style w:type="character" w:styleId="FootnoteReference">
    <w:name w:val="footnote reference"/>
    <w:basedOn w:val="DefaultParagraphFont"/>
    <w:uiPriority w:val="99"/>
    <w:unhideWhenUsed/>
    <w:rsid w:val="005068EA"/>
    <w:rPr>
      <w:vertAlign w:val="superscript"/>
    </w:rPr>
  </w:style>
  <w:style w:type="paragraph" w:customStyle="1" w:styleId="FeatureBox">
    <w:name w:val="Feature Box"/>
    <w:basedOn w:val="Normal"/>
    <w:qFormat/>
    <w:rsid w:val="00114EAC"/>
    <w:pPr>
      <w:pBdr>
        <w:top w:val="single" w:sz="4" w:space="12" w:color="031630" w:themeColor="text2" w:themeShade="BF"/>
        <w:left w:val="single" w:sz="4" w:space="16" w:color="031630" w:themeColor="text2" w:themeShade="BF"/>
        <w:bottom w:val="single" w:sz="4" w:space="12" w:color="031630" w:themeColor="text2" w:themeShade="BF"/>
        <w:right w:val="single" w:sz="4" w:space="16" w:color="031630"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semiHidden/>
    <w:unhideWhenUsed/>
    <w:rsid w:val="00D07B7D"/>
    <w:rPr>
      <w:color w:val="031630" w:themeColor="text2" w:themeShade="BF"/>
      <w:u w:val="single"/>
    </w:rPr>
  </w:style>
  <w:style w:type="paragraph" w:styleId="Header">
    <w:name w:val="header"/>
    <w:basedOn w:val="Normal"/>
    <w:link w:val="HeaderChar"/>
    <w:uiPriority w:val="99"/>
    <w:unhideWhenUsed/>
    <w:rsid w:val="0049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C5"/>
    <w:rPr>
      <w:sz w:val="22"/>
    </w:rPr>
  </w:style>
  <w:style w:type="paragraph" w:styleId="Footer">
    <w:name w:val="footer"/>
    <w:basedOn w:val="Normal"/>
    <w:link w:val="FooterChar"/>
    <w:uiPriority w:val="99"/>
    <w:unhideWhenUsed/>
    <w:rsid w:val="002338A3"/>
    <w:pPr>
      <w:tabs>
        <w:tab w:val="center" w:pos="4680"/>
        <w:tab w:val="right" w:pos="9360"/>
      </w:tabs>
      <w:spacing w:after="0" w:line="240" w:lineRule="auto"/>
    </w:pPr>
    <w:rPr>
      <w:rFonts w:ascii="Calibri Light" w:hAnsi="Calibri Light"/>
    </w:rPr>
  </w:style>
  <w:style w:type="character" w:customStyle="1" w:styleId="FooterChar">
    <w:name w:val="Footer Char"/>
    <w:basedOn w:val="DefaultParagraphFont"/>
    <w:link w:val="Footer"/>
    <w:uiPriority w:val="99"/>
    <w:rsid w:val="002338A3"/>
    <w:rPr>
      <w:rFonts w:ascii="Calibri Light" w:hAnsi="Calibri Light"/>
      <w:sz w:val="22"/>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1"/>
      </w:numPr>
      <w:spacing w:after="0"/>
      <w:contextualSpacing/>
    </w:pPr>
  </w:style>
  <w:style w:type="paragraph" w:styleId="ListBullet2">
    <w:name w:val="List Bullet 2"/>
    <w:basedOn w:val="Normal"/>
    <w:uiPriority w:val="99"/>
    <w:unhideWhenUsed/>
    <w:rsid w:val="002C0782"/>
    <w:pPr>
      <w:numPr>
        <w:numId w:val="2"/>
      </w:numPr>
      <w:contextualSpacing/>
    </w:pPr>
  </w:style>
  <w:style w:type="paragraph" w:styleId="ListBullet3">
    <w:name w:val="List Bullet 3"/>
    <w:basedOn w:val="Normal"/>
    <w:uiPriority w:val="99"/>
    <w:unhideWhenUsed/>
    <w:rsid w:val="002C0782"/>
    <w:pPr>
      <w:numPr>
        <w:numId w:val="3"/>
      </w:numPr>
      <w:contextualSpacing/>
    </w:pPr>
  </w:style>
  <w:style w:type="paragraph" w:styleId="ListBullet4">
    <w:name w:val="List Bullet 4"/>
    <w:basedOn w:val="Normal"/>
    <w:uiPriority w:val="99"/>
    <w:unhideWhenUsed/>
    <w:rsid w:val="002C0782"/>
    <w:pPr>
      <w:numPr>
        <w:numId w:val="4"/>
      </w:numPr>
      <w:contextualSpacing/>
    </w:pPr>
  </w:style>
  <w:style w:type="table" w:customStyle="1" w:styleId="Calendar4">
    <w:name w:val="Calendar 4"/>
    <w:basedOn w:val="TableNormal"/>
    <w:uiPriority w:val="99"/>
    <w:qFormat/>
    <w:rsid w:val="00403B3C"/>
    <w:pPr>
      <w:snapToGrid w:val="0"/>
    </w:pPr>
    <w:rPr>
      <w:rFonts w:eastAsiaTheme="minorEastAsia"/>
      <w:b/>
      <w:bCs/>
      <w:color w:val="FFFFFF" w:themeColor="background1"/>
      <w:sz w:val="16"/>
      <w:szCs w:val="16"/>
    </w:rPr>
    <w:tblPr>
      <w:tblStyleRowBandSize w:val="1"/>
      <w:tblBorders>
        <w:top w:val="single" w:sz="4" w:space="0" w:color="007FAA" w:themeColor="accent2"/>
        <w:left w:val="single" w:sz="4" w:space="0" w:color="007FAA" w:themeColor="accent2"/>
        <w:bottom w:val="single" w:sz="4" w:space="0" w:color="007FAA" w:themeColor="accent2"/>
        <w:right w:val="single" w:sz="4" w:space="0" w:color="007FAA" w:themeColor="accent2"/>
      </w:tblBorders>
    </w:tblPr>
    <w:tcPr>
      <w:shd w:val="clear" w:color="auto" w:fill="020E20"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9"/>
      </w:numPr>
    </w:pPr>
  </w:style>
  <w:style w:type="numbering" w:customStyle="1" w:styleId="StyleListLinkOutlinenumberedSymbolsymbol13pt">
    <w:name w:val="Style List Link + Outline numbered Symbol (symbol) 13 pt"/>
    <w:basedOn w:val="NoList"/>
    <w:rsid w:val="00403B3C"/>
    <w:pPr>
      <w:numPr>
        <w:numId w:val="10"/>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15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15E" w:themeFill="accent5"/>
      </w:tcPr>
    </w:tblStylePr>
    <w:tblStylePr w:type="lastCol">
      <w:rPr>
        <w:b/>
        <w:bCs/>
        <w:color w:val="FFFFFF" w:themeColor="background1"/>
      </w:rPr>
      <w:tblPr/>
      <w:tcPr>
        <w:tcBorders>
          <w:left w:val="nil"/>
          <w:right w:val="nil"/>
          <w:insideH w:val="nil"/>
          <w:insideV w:val="nil"/>
        </w:tcBorders>
        <w:shd w:val="clear" w:color="auto" w:fill="FBD15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1"/>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FDECBE" w:themeColor="accent5" w:themeTint="66"/>
        <w:left w:val="single" w:sz="4" w:space="0" w:color="FDECBE" w:themeColor="accent5" w:themeTint="66"/>
        <w:bottom w:val="single" w:sz="4" w:space="0" w:color="FDECBE" w:themeColor="accent5" w:themeTint="66"/>
        <w:right w:val="single" w:sz="4" w:space="0" w:color="FDECBE" w:themeColor="accent5" w:themeTint="66"/>
        <w:insideH w:val="single" w:sz="4" w:space="0" w:color="FDECBE" w:themeColor="accent5" w:themeTint="66"/>
        <w:insideV w:val="single" w:sz="4" w:space="0" w:color="FDECBE" w:themeColor="accent5" w:themeTint="66"/>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2" w:space="0" w:color="FCE39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91E3C"/>
    <w:pPr>
      <w:spacing w:before="120" w:after="120" w:line="228" w:lineRule="auto"/>
      <w:ind w:left="2160"/>
    </w:pPr>
    <w:rPr>
      <w:rFonts w:ascii="Calibri" w:hAnsi="Calibri"/>
      <w:b/>
      <w:color w:val="007FAA" w:themeColor="accent2"/>
      <w:sz w:val="36"/>
      <w:szCs w:val="36"/>
    </w:rPr>
  </w:style>
  <w:style w:type="character" w:styleId="PageNumber">
    <w:name w:val="page number"/>
    <w:basedOn w:val="DefaultParagraphFont"/>
    <w:uiPriority w:val="99"/>
    <w:semiHidden/>
    <w:unhideWhenUsed/>
    <w:rsid w:val="002338A3"/>
    <w:rPr>
      <w:rFonts w:asciiTheme="minorHAnsi" w:hAnsiTheme="minorHAnsi"/>
      <w:b/>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944D8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Text">
    <w:name w:val="annotation text"/>
    <w:basedOn w:val="Normal"/>
    <w:link w:val="CommentTextChar"/>
    <w:uiPriority w:val="99"/>
    <w:unhideWhenUsed/>
    <w:rsid w:val="00326D28"/>
    <w:pPr>
      <w:spacing w:line="240" w:lineRule="auto"/>
    </w:pPr>
    <w:rPr>
      <w:sz w:val="20"/>
      <w:szCs w:val="20"/>
    </w:rPr>
  </w:style>
  <w:style w:type="character" w:customStyle="1" w:styleId="CommentTextChar">
    <w:name w:val="Comment Text Char"/>
    <w:basedOn w:val="DefaultParagraphFont"/>
    <w:link w:val="CommentText"/>
    <w:uiPriority w:val="99"/>
    <w:rsid w:val="00326D28"/>
    <w:rPr>
      <w:sz w:val="20"/>
      <w:szCs w:val="20"/>
    </w:rPr>
  </w:style>
  <w:style w:type="paragraph" w:styleId="CommentSubject">
    <w:name w:val="annotation subject"/>
    <w:basedOn w:val="CommentText"/>
    <w:next w:val="CommentText"/>
    <w:link w:val="CommentSubjectChar"/>
    <w:uiPriority w:val="99"/>
    <w:semiHidden/>
    <w:unhideWhenUsed/>
    <w:rsid w:val="00326D28"/>
    <w:rPr>
      <w:b/>
      <w:bCs/>
    </w:rPr>
  </w:style>
  <w:style w:type="character" w:customStyle="1" w:styleId="CommentSubjectChar">
    <w:name w:val="Comment Subject Char"/>
    <w:basedOn w:val="CommentTextChar"/>
    <w:link w:val="CommentSubject"/>
    <w:uiPriority w:val="99"/>
    <w:semiHidden/>
    <w:rsid w:val="00326D28"/>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E801D6"/>
    <w:rPr>
      <w:rFonts w:eastAsiaTheme="minorEastAsia"/>
      <w:sz w:val="22"/>
      <w:szCs w:val="22"/>
      <w:lang w:eastAsia="zh-CN"/>
    </w:rPr>
  </w:style>
  <w:style w:type="character" w:customStyle="1" w:styleId="NoSpacingChar">
    <w:name w:val="No Spacing Char"/>
    <w:basedOn w:val="DefaultParagraphFont"/>
    <w:link w:val="NoSpacing"/>
    <w:uiPriority w:val="1"/>
    <w:rsid w:val="00E801D6"/>
    <w:rPr>
      <w:rFonts w:eastAsiaTheme="minorEastAsia"/>
      <w:sz w:val="22"/>
      <w:szCs w:val="22"/>
      <w:lang w:eastAsia="zh-CN"/>
    </w:rPr>
  </w:style>
  <w:style w:type="paragraph" w:customStyle="1" w:styleId="ParagraphbeforeNumberedList">
    <w:name w:val="Paragraph before Numbered List"/>
    <w:basedOn w:val="Normal"/>
    <w:uiPriority w:val="1"/>
    <w:qFormat/>
    <w:rsid w:val="00536D6F"/>
    <w:pPr>
      <w:numPr>
        <w:numId w:val="12"/>
      </w:numPr>
      <w:spacing w:after="120"/>
    </w:pPr>
  </w:style>
  <w:style w:type="paragraph" w:styleId="ListNumber2">
    <w:name w:val="List Number 2"/>
    <w:basedOn w:val="BodyText"/>
    <w:uiPriority w:val="99"/>
    <w:unhideWhenUsed/>
    <w:rsid w:val="00AC76D4"/>
    <w:pPr>
      <w:numPr>
        <w:ilvl w:val="2"/>
        <w:numId w:val="12"/>
      </w:numPr>
      <w:contextualSpacing/>
    </w:pPr>
  </w:style>
  <w:style w:type="paragraph" w:styleId="ListNumber3">
    <w:name w:val="List Number 3"/>
    <w:basedOn w:val="BodyText"/>
    <w:uiPriority w:val="99"/>
    <w:unhideWhenUsed/>
    <w:rsid w:val="00AC76D4"/>
    <w:pPr>
      <w:numPr>
        <w:ilvl w:val="3"/>
        <w:numId w:val="12"/>
      </w:numPr>
      <w:contextualSpacing/>
    </w:pPr>
  </w:style>
  <w:style w:type="paragraph" w:styleId="ListNumber4">
    <w:name w:val="List Number 4"/>
    <w:basedOn w:val="BodyText"/>
    <w:uiPriority w:val="99"/>
    <w:unhideWhenUsed/>
    <w:rsid w:val="00AC76D4"/>
    <w:pPr>
      <w:numPr>
        <w:ilvl w:val="4"/>
        <w:numId w:val="12"/>
      </w:numPr>
      <w:contextualSpacing/>
    </w:pPr>
  </w:style>
  <w:style w:type="paragraph" w:styleId="ListNumber5">
    <w:name w:val="List Number 5"/>
    <w:basedOn w:val="BodyText"/>
    <w:uiPriority w:val="99"/>
    <w:unhideWhenUsed/>
    <w:rsid w:val="00AC76D4"/>
    <w:pPr>
      <w:numPr>
        <w:ilvl w:val="5"/>
        <w:numId w:val="12"/>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F8B809" w:themeColor="accent5" w:themeShade="BF"/>
    </w:rPr>
    <w:tblPr>
      <w:tblStyleRowBandSize w:val="1"/>
      <w:tblStyleColBandSize w:val="1"/>
      <w:tblBorders>
        <w:top w:val="single" w:sz="4" w:space="0" w:color="FCE39E" w:themeColor="accent5" w:themeTint="99"/>
        <w:left w:val="single" w:sz="4" w:space="0" w:color="FCE39E" w:themeColor="accent5" w:themeTint="99"/>
        <w:bottom w:val="single" w:sz="4" w:space="0" w:color="FCE39E" w:themeColor="accent5" w:themeTint="99"/>
        <w:right w:val="single" w:sz="4" w:space="0" w:color="FCE39E" w:themeColor="accent5" w:themeTint="99"/>
        <w:insideH w:val="single" w:sz="4" w:space="0" w:color="FCE39E" w:themeColor="accent5" w:themeTint="99"/>
        <w:insideV w:val="single" w:sz="4" w:space="0" w:color="FCE39E" w:themeColor="accent5" w:themeTint="99"/>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4" w:space="0" w:color="FCE39E" w:themeColor="accent5" w:themeTint="99"/>
        </w:tcBorders>
      </w:tcPr>
    </w:tblStylePr>
    <w:tblStylePr w:type="firstCol">
      <w:rPr>
        <w:b/>
        <w:bCs/>
      </w:rPr>
    </w:tblStylePr>
    <w:tblStylePr w:type="lastCol">
      <w:rPr>
        <w:b/>
        <w:bCs/>
      </w:rPr>
    </w:tblStylePr>
    <w:tblStylePr w:type="band1Vert">
      <w:tblPr/>
      <w:tcPr>
        <w:shd w:val="clear" w:color="auto" w:fill="FEF5DE" w:themeFill="accent5" w:themeFillTint="33"/>
      </w:tcPr>
    </w:tblStylePr>
    <w:tblStylePr w:type="band1Horz">
      <w:tblPr/>
      <w:tcPr>
        <w:shd w:val="clear" w:color="auto" w:fill="FEF5DE" w:themeFill="accent5" w:themeFillTint="33"/>
      </w:tcPr>
    </w:tblStylePr>
  </w:style>
  <w:style w:type="table" w:styleId="GridTable7Colorful-Accent3">
    <w:name w:val="Grid Table 7 Colorful Accent 3"/>
    <w:basedOn w:val="TableNormal"/>
    <w:uiPriority w:val="52"/>
    <w:rsid w:val="000E3440"/>
    <w:rPr>
      <w:color w:val="197D9B" w:themeColor="accent3" w:themeShade="BF"/>
    </w:rPr>
    <w:tblPr>
      <w:tblStyleRowBandSize w:val="1"/>
      <w:tblStyleColBandSize w:val="1"/>
      <w:tblBorders>
        <w:top w:val="single" w:sz="4" w:space="0" w:color="74CEE8" w:themeColor="accent3" w:themeTint="99"/>
        <w:left w:val="single" w:sz="4" w:space="0" w:color="74CEE8" w:themeColor="accent3" w:themeTint="99"/>
        <w:bottom w:val="single" w:sz="4" w:space="0" w:color="74CEE8" w:themeColor="accent3" w:themeTint="99"/>
        <w:right w:val="single" w:sz="4" w:space="0" w:color="74CEE8" w:themeColor="accent3" w:themeTint="99"/>
        <w:insideH w:val="single" w:sz="4" w:space="0" w:color="74CEE8" w:themeColor="accent3" w:themeTint="99"/>
        <w:insideV w:val="single" w:sz="4" w:space="0" w:color="74CE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EF7" w:themeFill="accent3" w:themeFillTint="33"/>
      </w:tcPr>
    </w:tblStylePr>
    <w:tblStylePr w:type="band1Horz">
      <w:tblPr/>
      <w:tcPr>
        <w:shd w:val="clear" w:color="auto" w:fill="D0EEF7" w:themeFill="accent3" w:themeFillTint="33"/>
      </w:tcPr>
    </w:tblStylePr>
    <w:tblStylePr w:type="neCell">
      <w:tblPr/>
      <w:tcPr>
        <w:tcBorders>
          <w:bottom w:val="single" w:sz="4" w:space="0" w:color="74CEE8" w:themeColor="accent3" w:themeTint="99"/>
        </w:tcBorders>
      </w:tcPr>
    </w:tblStylePr>
    <w:tblStylePr w:type="nwCell">
      <w:tblPr/>
      <w:tcPr>
        <w:tcBorders>
          <w:bottom w:val="single" w:sz="4" w:space="0" w:color="74CEE8" w:themeColor="accent3" w:themeTint="99"/>
        </w:tcBorders>
      </w:tcPr>
    </w:tblStylePr>
    <w:tblStylePr w:type="seCell">
      <w:tblPr/>
      <w:tcPr>
        <w:tcBorders>
          <w:top w:val="single" w:sz="4" w:space="0" w:color="74CEE8" w:themeColor="accent3" w:themeTint="99"/>
        </w:tcBorders>
      </w:tcPr>
    </w:tblStylePr>
    <w:tblStylePr w:type="swCell">
      <w:tblPr/>
      <w:tcPr>
        <w:tcBorders>
          <w:top w:val="single" w:sz="4" w:space="0" w:color="74CEE8"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33CBFF" w:themeColor="accent2" w:themeTint="99"/>
        </w:tcBorders>
      </w:tcPr>
    </w:tblStylePr>
    <w:tblStylePr w:type="lastRow">
      <w:rPr>
        <w:b/>
        <w:bCs/>
      </w:rPr>
      <w:tblPr/>
      <w:tcPr>
        <w:tcBorders>
          <w:top w:val="single" w:sz="4" w:space="0" w:color="33CBFF" w:themeColor="accent2" w:themeTint="99"/>
        </w:tcBorders>
      </w:tcPr>
    </w:tblStylePr>
    <w:tblStylePr w:type="firstCol">
      <w:rPr>
        <w:b/>
        <w:bCs/>
      </w:rPr>
    </w:tblStylePr>
    <w:tblStylePr w:type="lastCol">
      <w:rPr>
        <w:b/>
        <w:bCs/>
      </w:rPr>
    </w:tblStylePr>
    <w:tblStylePr w:type="band1Vert">
      <w:tblPr/>
      <w:tcPr>
        <w:shd w:val="clear" w:color="auto" w:fill="BBEDFF" w:themeFill="accent2" w:themeFillTint="33"/>
      </w:tcPr>
    </w:tblStylePr>
    <w:tblStylePr w:type="band1Horz">
      <w:tblPr/>
      <w:tcPr>
        <w:shd w:val="clear" w:color="auto" w:fill="BBEDFF"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47F50"/>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EF7" w:themeFill="accent3" w:themeFillTint="33"/>
    </w:tcPr>
    <w:tblStylePr w:type="firstRow">
      <w:pPr>
        <w:jc w:val="left"/>
      </w:pPr>
      <w:rPr>
        <w:b/>
        <w:color w:val="FFFFFF"/>
      </w:rPr>
      <w:tblPr/>
      <w:tcPr>
        <w:shd w:val="clear" w:color="auto" w:fill="041E4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semiHidden/>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41E4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0E6AE7" w:themeColor="accent1" w:themeTint="99"/>
        <w:left w:val="single" w:sz="4" w:space="0" w:color="0E6AE7" w:themeColor="accent1" w:themeTint="99"/>
        <w:bottom w:val="single" w:sz="4" w:space="0" w:color="0E6AE7" w:themeColor="accent1" w:themeTint="99"/>
        <w:right w:val="single" w:sz="4" w:space="0" w:color="0E6AE7" w:themeColor="accent1" w:themeTint="99"/>
        <w:insideH w:val="single" w:sz="4" w:space="0" w:color="0E6AE7" w:themeColor="accent1" w:themeTint="99"/>
        <w:insideV w:val="single" w:sz="4" w:space="0" w:color="0E6AE7" w:themeColor="accent1" w:themeTint="99"/>
      </w:tblBorders>
    </w:tblPr>
    <w:tblStylePr w:type="firstRow">
      <w:rPr>
        <w:b/>
        <w:bCs/>
        <w:color w:val="FFFFFF" w:themeColor="background1"/>
      </w:rPr>
      <w:tblPr/>
      <w:tcPr>
        <w:tcBorders>
          <w:top w:val="single" w:sz="4" w:space="0" w:color="041E41" w:themeColor="accent1"/>
          <w:left w:val="single" w:sz="4" w:space="0" w:color="041E41" w:themeColor="accent1"/>
          <w:bottom w:val="single" w:sz="4" w:space="0" w:color="041E41" w:themeColor="accent1"/>
          <w:right w:val="single" w:sz="4" w:space="0" w:color="041E41" w:themeColor="accent1"/>
          <w:insideH w:val="nil"/>
          <w:insideV w:val="nil"/>
        </w:tcBorders>
        <w:shd w:val="clear" w:color="auto" w:fill="041E41" w:themeFill="accent1"/>
      </w:tcPr>
    </w:tblStylePr>
    <w:tblStylePr w:type="lastRow">
      <w:rPr>
        <w:b/>
        <w:bCs/>
      </w:rPr>
      <w:tblPr/>
      <w:tcPr>
        <w:tcBorders>
          <w:top w:val="double" w:sz="4" w:space="0" w:color="041E41" w:themeColor="accent1"/>
        </w:tcBorders>
      </w:tcPr>
    </w:tblStylePr>
    <w:tblStylePr w:type="firstCol">
      <w:rPr>
        <w:b/>
        <w:bCs/>
      </w:rPr>
    </w:tblStylePr>
    <w:tblStylePr w:type="lastCol">
      <w:rPr>
        <w:b/>
        <w:bCs/>
      </w:rPr>
    </w:tblStylePr>
    <w:tblStylePr w:type="band1Vert">
      <w:tblPr/>
      <w:tcPr>
        <w:shd w:val="clear" w:color="auto" w:fill="ABCCFA" w:themeFill="accent1" w:themeFillTint="33"/>
      </w:tcPr>
    </w:tblStylePr>
    <w:tblStylePr w:type="band1Horz">
      <w:tblPr/>
      <w:tcPr>
        <w:shd w:val="clear" w:color="auto" w:fill="ABCCFA" w:themeFill="accent1" w:themeFillTint="33"/>
      </w:tcPr>
    </w:tblStylePr>
  </w:style>
  <w:style w:type="table" w:customStyle="1" w:styleId="TableGrid1">
    <w:name w:val="Table Grid1"/>
    <w:basedOn w:val="TableNormal"/>
    <w:next w:val="TableGrid"/>
    <w:uiPriority w:val="59"/>
    <w:rsid w:val="00B8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C1DFF"/>
    <w:rPr>
      <w:rFonts w:asciiTheme="majorHAnsi" w:eastAsiaTheme="majorEastAsia" w:hAnsiTheme="majorHAnsi" w:cstheme="majorBidi"/>
      <w:color w:val="031630" w:themeColor="accent1" w:themeShade="BF"/>
      <w:sz w:val="22"/>
    </w:rPr>
  </w:style>
  <w:style w:type="character" w:customStyle="1" w:styleId="Condensed-02ptChar">
    <w:name w:val="Condensed - 0.2pt Char"/>
    <w:basedOn w:val="DefaultParagraphFont"/>
    <w:link w:val="Condensed-02pt"/>
    <w:locked/>
    <w:rsid w:val="004C1DFF"/>
    <w:rPr>
      <w:rFonts w:ascii="Arial" w:hAnsi="Arial" w:cs="Calibri (Body)"/>
      <w:spacing w:val="-4"/>
    </w:rPr>
  </w:style>
  <w:style w:type="paragraph" w:customStyle="1" w:styleId="Condensed-02pt">
    <w:name w:val="Condensed - 0.2pt"/>
    <w:basedOn w:val="Normal"/>
    <w:link w:val="Condensed-02ptChar"/>
    <w:qFormat/>
    <w:rsid w:val="004C1DFF"/>
    <w:pPr>
      <w:spacing w:after="288" w:line="288" w:lineRule="exact"/>
    </w:pPr>
    <w:rPr>
      <w:rFonts w:ascii="Arial" w:hAnsi="Arial" w:cs="Calibri (Body)"/>
      <w:spacing w:val="-4"/>
      <w:sz w:val="24"/>
    </w:rPr>
  </w:style>
  <w:style w:type="paragraph" w:customStyle="1" w:styleId="GTableText">
    <w:name w:val="_G Table Text"/>
    <w:basedOn w:val="Normal"/>
    <w:rsid w:val="004C1DFF"/>
    <w:pPr>
      <w:spacing w:before="60" w:after="60" w:line="240" w:lineRule="auto"/>
    </w:pPr>
    <w:rPr>
      <w:rFonts w:ascii="Lucida Sans Unicode" w:eastAsia="Times New Roman" w:hAnsi="Lucida Sans Unicode" w:cs="Times New Roman"/>
      <w:color w:val="252525"/>
      <w:sz w:val="21"/>
    </w:rPr>
  </w:style>
  <w:style w:type="paragraph" w:customStyle="1" w:styleId="JIFtitle">
    <w:name w:val="JIF title"/>
    <w:basedOn w:val="Normal"/>
    <w:qFormat/>
    <w:rsid w:val="004C1DFF"/>
    <w:pPr>
      <w:spacing w:after="80" w:line="240" w:lineRule="auto"/>
    </w:pPr>
    <w:rPr>
      <w:rFonts w:asciiTheme="majorHAnsi" w:eastAsiaTheme="minorEastAsia" w:hAnsiTheme="majorHAnsi" w:cs="Calibri Light"/>
      <w:b/>
      <w:color w:val="4B9CD3"/>
      <w:sz w:val="40"/>
      <w:szCs w:val="36"/>
    </w:rPr>
  </w:style>
  <w:style w:type="character" w:customStyle="1" w:styleId="UnresolvedMention3">
    <w:name w:val="Unresolved Mention3"/>
    <w:basedOn w:val="DefaultParagraphFont"/>
    <w:uiPriority w:val="99"/>
    <w:semiHidden/>
    <w:unhideWhenUsed/>
    <w:rsid w:val="004C1DFF"/>
    <w:rPr>
      <w:color w:val="605E5C"/>
      <w:shd w:val="clear" w:color="auto" w:fill="E1DFDD"/>
    </w:rPr>
  </w:style>
  <w:style w:type="character" w:customStyle="1" w:styleId="apple-converted-space">
    <w:name w:val="apple-converted-space"/>
    <w:basedOn w:val="DefaultParagraphFont"/>
    <w:rsid w:val="004C1DFF"/>
  </w:style>
  <w:style w:type="paragraph" w:customStyle="1" w:styleId="Default">
    <w:name w:val="Default"/>
    <w:rsid w:val="004C1DFF"/>
    <w:pPr>
      <w:autoSpaceDE w:val="0"/>
      <w:autoSpaceDN w:val="0"/>
      <w:adjustRightInd w:val="0"/>
    </w:pPr>
    <w:rPr>
      <w:rFonts w:ascii="Calibri" w:hAnsi="Calibri" w:cs="Calibri"/>
      <w:color w:val="000000"/>
    </w:rPr>
  </w:style>
  <w:style w:type="character" w:customStyle="1" w:styleId="UnresolvedMention4">
    <w:name w:val="Unresolved Mention4"/>
    <w:basedOn w:val="DefaultParagraphFont"/>
    <w:uiPriority w:val="99"/>
    <w:semiHidden/>
    <w:unhideWhenUsed/>
    <w:rsid w:val="004C1DFF"/>
    <w:rPr>
      <w:color w:val="605E5C"/>
      <w:shd w:val="clear" w:color="auto" w:fill="E1DFDD"/>
    </w:rPr>
  </w:style>
  <w:style w:type="character" w:customStyle="1" w:styleId="UnresolvedMention5">
    <w:name w:val="Unresolved Mention5"/>
    <w:basedOn w:val="DefaultParagraphFont"/>
    <w:uiPriority w:val="99"/>
    <w:semiHidden/>
    <w:unhideWhenUsed/>
    <w:rsid w:val="004C1DFF"/>
    <w:rPr>
      <w:color w:val="605E5C"/>
      <w:shd w:val="clear" w:color="auto" w:fill="E1DFDD"/>
    </w:rPr>
  </w:style>
  <w:style w:type="character" w:styleId="UnresolvedMention">
    <w:name w:val="Unresolved Mention"/>
    <w:basedOn w:val="DefaultParagraphFont"/>
    <w:uiPriority w:val="99"/>
    <w:semiHidden/>
    <w:unhideWhenUsed/>
    <w:rsid w:val="004C1DFF"/>
    <w:rPr>
      <w:color w:val="605E5C"/>
      <w:shd w:val="clear" w:color="auto" w:fill="E1DFDD"/>
    </w:rPr>
  </w:style>
  <w:style w:type="character" w:styleId="IntenseReference">
    <w:name w:val="Intense Reference"/>
    <w:basedOn w:val="DefaultParagraphFont"/>
    <w:uiPriority w:val="32"/>
    <w:qFormat/>
    <w:rsid w:val="004C1DFF"/>
    <w:rPr>
      <w:b/>
      <w:bCs/>
      <w:smallCaps/>
      <w:color w:val="041E41" w:themeColor="accent1"/>
      <w:spacing w:val="5"/>
    </w:rPr>
  </w:style>
  <w:style w:type="character" w:styleId="HTMLCite">
    <w:name w:val="HTML Cite"/>
    <w:basedOn w:val="DefaultParagraphFont"/>
    <w:uiPriority w:val="99"/>
    <w:semiHidden/>
    <w:unhideWhenUsed/>
    <w:rsid w:val="004C1DFF"/>
    <w:rPr>
      <w:i/>
      <w:iCs/>
    </w:rPr>
  </w:style>
  <w:style w:type="paragraph" w:customStyle="1" w:styleId="TableParagraph">
    <w:name w:val="Table Paragraph"/>
    <w:basedOn w:val="Normal"/>
    <w:uiPriority w:val="1"/>
    <w:qFormat/>
    <w:rsid w:val="004C1DFF"/>
    <w:pPr>
      <w:widowControl w:val="0"/>
      <w:autoSpaceDE w:val="0"/>
      <w:autoSpaceDN w:val="0"/>
      <w:spacing w:after="0" w:line="240" w:lineRule="auto"/>
      <w:ind w:left="267"/>
    </w:pPr>
    <w:rPr>
      <w:rFonts w:ascii="Calibri" w:eastAsia="Calibri" w:hAnsi="Calibri" w:cs="Calibri"/>
      <w:szCs w:val="22"/>
    </w:rPr>
  </w:style>
  <w:style w:type="character" w:styleId="Mention">
    <w:name w:val="Mention"/>
    <w:basedOn w:val="DefaultParagraphFont"/>
    <w:uiPriority w:val="99"/>
    <w:unhideWhenUsed/>
    <w:rsid w:val="004C1DFF"/>
    <w:rPr>
      <w:color w:val="2B579A"/>
      <w:shd w:val="clear" w:color="auto" w:fill="E6E6E6"/>
    </w:rPr>
  </w:style>
  <w:style w:type="character" w:customStyle="1" w:styleId="ListParagraphChar">
    <w:name w:val="List Paragraph Char"/>
    <w:basedOn w:val="DefaultParagraphFont"/>
    <w:link w:val="ListParagraph"/>
    <w:uiPriority w:val="34"/>
    <w:locked/>
    <w:rsid w:val="004C1DFF"/>
    <w:rPr>
      <w:sz w:val="22"/>
    </w:rPr>
  </w:style>
  <w:style w:type="character" w:customStyle="1" w:styleId="normaltextrun">
    <w:name w:val="normaltextrun"/>
    <w:basedOn w:val="DefaultParagraphFont"/>
    <w:rsid w:val="004C1DFF"/>
  </w:style>
  <w:style w:type="character" w:customStyle="1" w:styleId="eop">
    <w:name w:val="eop"/>
    <w:basedOn w:val="DefaultParagraphFont"/>
    <w:rsid w:val="004C1DFF"/>
  </w:style>
  <w:style w:type="table" w:customStyle="1" w:styleId="NCOlmsteadTable">
    <w:name w:val="NC Olmstead Table"/>
    <w:basedOn w:val="TableNormal"/>
    <w:rsid w:val="004C1DFF"/>
    <w:pPr>
      <w:widowControl w:val="0"/>
    </w:pPr>
    <w:rPr>
      <w:rFonts w:ascii="Arial" w:eastAsia="Calibri" w:hAnsi="Arial" w:cs="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
    <w:tcPr>
      <w:shd w:val="clear" w:color="auto" w:fill="D0EFF7"/>
    </w:tcPr>
    <w:tblStylePr w:type="firstRow">
      <w:pPr>
        <w:jc w:val="left"/>
      </w:pPr>
      <w:rPr>
        <w:rFonts w:ascii="Arial" w:hAnsi="Arial"/>
        <w:b/>
        <w:color w:val="FFFFFF"/>
        <w:sz w:val="20"/>
      </w:rPr>
      <w:tblPr/>
      <w:tcPr>
        <w:shd w:val="clear" w:color="auto" w:fill="041E41" w:themeFill="text2"/>
        <w:vAlign w:val="bottom"/>
      </w:tcPr>
    </w:tblStylePr>
    <w:tblStylePr w:type="lastRow">
      <w:rPr>
        <w:b w:val="0"/>
        <w:color w:val="000000" w:themeColor="text1"/>
      </w:rPr>
      <w:tblPr/>
      <w:tcPr>
        <w:shd w:val="clear" w:color="auto" w:fill="FD6136" w:themeFill="accent4"/>
      </w:tc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rPr>
        <w:rFonts w:ascii="Arial" w:hAnsi="Arial"/>
      </w:rPr>
      <w:tblPr/>
      <w:tcPr>
        <w:shd w:val="clear" w:color="auto" w:fill="74CEE8" w:themeFill="accent3" w:themeFillTint="99"/>
      </w:tcPr>
    </w:tblStylePr>
    <w:tblStylePr w:type="band2Horz">
      <w:pPr>
        <w:jc w:val="left"/>
      </w:pPr>
      <w:rPr>
        <w:rFonts w:ascii="Arial" w:hAnsi="Arial"/>
        <w:color w:val="000000" w:themeColor="text1"/>
      </w:rPr>
      <w:tblPr/>
      <w:tcPr>
        <w:shd w:val="clear" w:color="auto" w:fill="A2DEF0" w:themeFill="accent3" w:themeFillTint="66"/>
      </w:tcPr>
    </w:tblStylePr>
  </w:style>
  <w:style w:type="character" w:customStyle="1" w:styleId="font91">
    <w:name w:val="font91"/>
    <w:basedOn w:val="DefaultParagraphFont"/>
    <w:rsid w:val="004C1DFF"/>
    <w:rPr>
      <w:rFonts w:ascii="Arial" w:hAnsi="Arial" w:cs="Arial" w:hint="default"/>
      <w:b/>
      <w:bCs/>
      <w:i w:val="0"/>
      <w:iCs w:val="0"/>
      <w:strike w:val="0"/>
      <w:dstrike w:val="0"/>
      <w:color w:val="000000"/>
      <w:sz w:val="20"/>
      <w:szCs w:val="20"/>
      <w:u w:val="none"/>
      <w:effect w:val="none"/>
    </w:rPr>
  </w:style>
  <w:style w:type="character" w:customStyle="1" w:styleId="font71">
    <w:name w:val="font71"/>
    <w:basedOn w:val="DefaultParagraphFont"/>
    <w:rsid w:val="004C1DFF"/>
    <w:rPr>
      <w:rFonts w:ascii="Arial" w:hAnsi="Arial" w:cs="Arial" w:hint="default"/>
      <w:b w:val="0"/>
      <w:bCs w:val="0"/>
      <w:i w:val="0"/>
      <w:iCs w:val="0"/>
      <w:strike w:val="0"/>
      <w:dstrike w:val="0"/>
      <w:color w:val="000000"/>
      <w:sz w:val="20"/>
      <w:szCs w:val="20"/>
      <w:u w:val="none"/>
      <w:effect w:val="none"/>
    </w:rPr>
  </w:style>
  <w:style w:type="paragraph" w:customStyle="1" w:styleId="indent--1">
    <w:name w:val="indent--1"/>
    <w:basedOn w:val="Normal"/>
    <w:uiPriority w:val="99"/>
    <w:semiHidden/>
    <w:rsid w:val="004C1DFF"/>
    <w:pPr>
      <w:spacing w:after="0" w:line="240" w:lineRule="auto"/>
    </w:pPr>
    <w:rPr>
      <w:rFonts w:ascii="Calibri" w:hAnsi="Calibri" w:cs="Calibri"/>
      <w:szCs w:val="22"/>
    </w:rPr>
  </w:style>
  <w:style w:type="character" w:customStyle="1" w:styleId="ql-cursor">
    <w:name w:val="ql-cursor"/>
    <w:basedOn w:val="DefaultParagraphFont"/>
    <w:rsid w:val="004C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6wxcxebb.cc.rs6.net/tn.jsp?f=001UGn1zfiUZ3ywHymgNFtlV13cmZvtB-5-UnW7o0kuKbK6eg7W0MDnEZoIlDSpUKVRavGxzzVmvi43UTYlDNn4aXTkPrzunkAcjAbwVaRtzoz9s5_6tFyjffrGGrsFcS4rtRTxNmU9L2VBAJKOUYgCjrs3ZNhg0If0zWfuEdeI_xw=&amp;c=sG4mApNZyRu7EU10_MrA9g4VqzL4uYosH2b39iyizp_M08Fe1MgByQ==&amp;ch=ff3I6mxl3JCssWsfwg65s8rWYrk96_eH-9DCE1l-q0k96vKDi7iIig==" TargetMode="External"/><Relationship Id="rId39" Type="http://schemas.openxmlformats.org/officeDocument/2006/relationships/theme" Target="theme/theme1.xml"/><Relationship Id="rId21" Type="http://schemas.openxmlformats.org/officeDocument/2006/relationships/hyperlink" Target="https://w6wxcxebb.cc.rs6.net/tn.jsp?f=0015FndZuhJKU4rCBrNpYEB5tSRoL8MYaOne-CtEDKqjBEEwFdr7Lh2hWCZ4QfZhKLlxeuT15Tad5qht_oqUEDhvaLK30UxxuTFpUUFw-kmADO0JxBkUUQTwEdn3-6jH-xYPgFZDOreuy-wrgVWdqnFIEiS5T-uM20KL_efE6c2eVGJqyxaxA1PEihWBGfqh1Eqy-_lsXxnxo3a5-ir5D64GFQ-PxEAUSNd&amp;c=lpAfPE7LqYyozEwx1UDZ5sVitOXOaCZRJIdXZ_y4eeBRGQbrUxd0oA==&amp;ch=EvblY-ennTFRasNBvTlRbE-HnDhEDYvEICsbNZL5qJ43AAOutOZ5Bg=="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6wxcxebb.cc.rs6.net/tn.jsp?f=001UGn1zfiUZ3ywHymgNFtlV13cmZvtB-5-UnW7o0kuKbK6eg7W0MDnEUyBPqZSqRC_zYfas9ru813B43nF2skKl_j9jOpISBFeGVVolRgus29VCjE9NZ7QTioY3B7JSlDu77PqGgUMOtK8_IqYao8XGSmQg0Xp2LaruUe-1eMczBw=&amp;c=sG4mApNZyRu7EU10_MrA9g4VqzL4uYosH2b39iyizp_M08Fe1MgByQ==&amp;ch=ff3I6mxl3JCssWsfwg65s8rWYrk96_eH-9DCE1l-q0k96vKDi7iIig==" TargetMode="External"/><Relationship Id="rId33" Type="http://schemas.openxmlformats.org/officeDocument/2006/relationships/hyperlink" Target="https://w6wxcxebb.cc.rs6.net/tn.jsp?f=0019MpOsrTQCznOfQ1m08EIVezoYzEBaj5xJr-3ZbgD9nEqWltzif7nCg21cGwqfiOebOnhQjrjJtcbXHzskrLdw0Ek73ZTVZ0X0kzxLpf1LiLJ2wIqMOCkLfYGvM5YXpmDcYwXroIGrzBHL1spz8_QYt18lIWRfyYQ7TmvROx3e3onI_IFqPuru0o3z9do-l2A1sJBWIQP02yP049DAzEOu-isA10wGPA_IDX8scnzO-b5eihoMyOFAwofddWl3DlLVpsrJ-b9sFwMwsG0cYPdu59KcaDRBM_pxozCyMYThfs=&amp;c=OkLGU1b03WaBgVweHMvC4SQuWmmuoGHxOIET1cR7VhEBOdv1EPHy4Q==&amp;ch=TwGI0I6watFFStGTHxN5n1BUfa0Vk_XQ6diz1y-i5pTDlvJpncfn_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ncdhhs.gov/about/administrative-offices/office-secretary/nc-olmstead" TargetMode="External"/><Relationship Id="rId29" Type="http://schemas.openxmlformats.org/officeDocument/2006/relationships/hyperlink" Target="https://w6wxcxebb.cc.rs6.net/tn.jsp?f=001B_7arXaJAjDSeMQkMcGr9LyCx7y9yfiQZ6OPa8mSlvQlGysr-9lZUseB3jCWCAE8JhNAscjKb4qqplj0xpuhhKDEo3LJVanl9F6hV49KYx6W17l41bFc60nMmcS_Ev-mU-Kmb0hD7YOgPLLdGAYJ7jjgOwzq7mnfVsnTAo-SWs3cYlmibM_kE0gSk0x4-yN1G3of1gWSzuYDXvGVLoiTwI4vKCvZ8ESsmx8o78c2nXI0mUW3q6n2VUaz1OMBBbU8VsFgqiUxjnsD0CfU6-L4AQ==&amp;c=ZCMUb1A1lpPysVKzw2tZVRkKdi5Eu7VKStHZ60ZUbmv7DK8AoTQW8A==&amp;ch=QUeCu-aIOyImTRJVUdeOdZqJ5hSrGdvo68EddfIMi6g-1XeIQuWX_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shboards.ncdhhs.gov/t/DMHDDSAS/views/StrategicPlanDashboard/Overview?%3Aembed=y&amp;%3Aiid=1&amp;%3AisGuestRedirectFromVizportal=y" TargetMode="External"/><Relationship Id="rId32" Type="http://schemas.openxmlformats.org/officeDocument/2006/relationships/hyperlink" Target="https://www.ncdhhs.gov/assistance/hurricane-helene-recovery-resources" TargetMode="External"/><Relationship Id="rId37"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6wxcxebb.cc.rs6.net/tn.jsp?f=0015FndZuhJKU4rCBrNpYEB5tSRoL8MYaOne-CtEDKqjBEEwFdr7Lh2hUMiL4coVAb8do3mGFDyStBzboiIpaqG-6Vg1LoLmWfcNU8bbC6SvhCw9knEhWAKtxpIh7LPBmzkhB3xJxp0mgw4Z2beQ1iAiKuxkeWd3f2MtgzaI_Ygp5kwPBrnJ8Gp0SdB81xTxZDPaG41UgfxLa1zpm_bHInqbklnwjdmDDhPqpwlZh2dsj8UeKz7FIZVZkSfJGnjl4oCr3QSq5Tx3sCyjuj5S0jXh4gXg7CSBIhmpn6H1AN4_qMJzpZNprGw8A==&amp;c=lpAfPE7LqYyozEwx1UDZ5sVitOXOaCZRJIdXZ_y4eeBRGQbrUxd0oA==&amp;ch=EvblY-ennTFRasNBvTlRbE-HnDhEDYvEICsbNZL5qJ43AAOutOZ5Bg==" TargetMode="External"/><Relationship Id="rId28" Type="http://schemas.openxmlformats.org/officeDocument/2006/relationships/hyperlink" Target="https://dashboards.ncdhhs.gov/t/DMHDDSAS/views/StrategicPlanDashboard/5_1?%3Aembed=y&amp;%3Aiid=1&amp;%3AisGuestRedirectFromVizportal=y"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ncdhhs.gov/about/administrative-offices/office-secretary/nc-olmstead" TargetMode="External"/><Relationship Id="rId31" Type="http://schemas.openxmlformats.org/officeDocument/2006/relationships/hyperlink" Target="https://www.ncdhhs.gov/assistance/hurricane-helene-recovery-resources/hurricane-helene-recovery-communications-toolki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dhhs.gov/about/department-initiatives/inclusion-connects/innovations-waitlist-dashboard" TargetMode="External"/><Relationship Id="rId27" Type="http://schemas.openxmlformats.org/officeDocument/2006/relationships/hyperlink" Target="https://www.ncdhhs.gov/dmhddsus-2024-2029-strategic-plan-vf011625-update/open" TargetMode="External"/><Relationship Id="rId30" Type="http://schemas.openxmlformats.org/officeDocument/2006/relationships/hyperlink" Target="https://www.ncdhhs.gov/documents/hurricane-helene-idd-resource-english/download?attachment" TargetMode="External"/><Relationship Id="rId35" Type="http://schemas.openxmlformats.org/officeDocument/2006/relationships/header" Target="header8.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AC 2020 Digital">
      <a:dk1>
        <a:srgbClr val="000000"/>
      </a:dk1>
      <a:lt1>
        <a:srgbClr val="FFFFFF"/>
      </a:lt1>
      <a:dk2>
        <a:srgbClr val="041E41"/>
      </a:dk2>
      <a:lt2>
        <a:srgbClr val="FEFFFF"/>
      </a:lt2>
      <a:accent1>
        <a:srgbClr val="041E41"/>
      </a:accent1>
      <a:accent2>
        <a:srgbClr val="007FAA"/>
      </a:accent2>
      <a:accent3>
        <a:srgbClr val="22A9D0"/>
      </a:accent3>
      <a:accent4>
        <a:srgbClr val="FD6136"/>
      </a:accent4>
      <a:accent5>
        <a:srgbClr val="FBD15E"/>
      </a:accent5>
      <a:accent6>
        <a:srgbClr val="ACBB00"/>
      </a:accent6>
      <a:hlink>
        <a:srgbClr val="041E41"/>
      </a:hlink>
      <a:folHlink>
        <a:srgbClr val="041E4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CD9928-0F58-46AC-9645-313590F5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7869</Words>
  <Characters>42811</Characters>
  <Application>Microsoft Office Word</Application>
  <DocSecurity>0</DocSecurity>
  <Lines>586</Lines>
  <Paragraphs>135</Paragraphs>
  <ScaleCrop>false</ScaleCrop>
  <HeadingPairs>
    <vt:vector size="2" baseType="variant">
      <vt:variant>
        <vt:lpstr>Title</vt:lpstr>
      </vt:variant>
      <vt:variant>
        <vt:i4>1</vt:i4>
      </vt:variant>
    </vt:vector>
  </HeadingPairs>
  <TitlesOfParts>
    <vt:vector size="1" baseType="lpstr">
      <vt:lpstr>North Carolina Olmstead Plan Implementation</vt:lpstr>
    </vt:vector>
  </TitlesOfParts>
  <Company>Technical Assistance Collaborative</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Implementación del 
Plan Olmstead  
de Carolina del Norte</dc:title>
  <dc:subject>Informe resumido: del 1 de octubre al 31 de diciembre de 2024</dc:subject>
  <dc:creator>Rebecca Boss, M.A., and Megan Lee, L.P.C., consultoras de Servicios Humanos</dc:creator>
  <cp:keywords/>
  <dc:description/>
  <cp:lastModifiedBy>Aiken, Sharethea</cp:lastModifiedBy>
  <cp:revision>3</cp:revision>
  <cp:lastPrinted>2020-08-17T18:14:00Z</cp:lastPrinted>
  <dcterms:created xsi:type="dcterms:W3CDTF">2026-03-10T14:16:00Z</dcterms:created>
  <dcterms:modified xsi:type="dcterms:W3CDTF">2026-03-10T14:16:00Z</dcterms:modified>
</cp:coreProperties>
</file>