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DFE8" w14:textId="02A495CF" w:rsidR="00740909" w:rsidRDefault="00740909"/>
    <w:p w14:paraId="7C62444E" w14:textId="77777777" w:rsidR="00740909" w:rsidRDefault="00740909" w:rsidP="00740909">
      <w:pPr>
        <w:pStyle w:val="Title"/>
        <w:jc w:val="center"/>
      </w:pPr>
    </w:p>
    <w:p w14:paraId="26F547C8" w14:textId="19122FEB" w:rsidR="00C065DE" w:rsidRDefault="00C065DE" w:rsidP="00C065DE">
      <w:pPr>
        <w:pStyle w:val="Title"/>
        <w:ind w:left="270"/>
        <w:jc w:val="center"/>
        <w:rPr>
          <w:rStyle w:val="Emphasis"/>
          <w:rFonts w:ascii="Arial" w:hAnsi="Arial" w:cs="Arial"/>
          <w:color w:val="auto"/>
          <w:sz w:val="24"/>
          <w:szCs w:val="24"/>
        </w:rPr>
      </w:pPr>
      <w:bookmarkStart w:id="0" w:name="_Hlk11103836"/>
      <w:r>
        <w:rPr>
          <w:rFonts w:ascii="Arial" w:hAnsi="Arial" w:cs="Arial"/>
          <w:b/>
          <w:bCs/>
          <w:color w:val="auto"/>
          <w:sz w:val="38"/>
          <w:szCs w:val="38"/>
        </w:rPr>
        <w:t>North Carolina Emergency Solutions Grants Program</w:t>
      </w:r>
      <w:bookmarkEnd w:id="0"/>
      <w:r>
        <w:rPr>
          <w:rFonts w:ascii="Arial" w:hAnsi="Arial" w:cs="Arial"/>
          <w:sz w:val="24"/>
          <w:szCs w:val="24"/>
        </w:rPr>
        <w:br/>
      </w:r>
      <w:r>
        <w:rPr>
          <w:rFonts w:ascii="Arial" w:hAnsi="Arial" w:cs="Arial"/>
          <w:b/>
          <w:color w:val="auto"/>
          <w:sz w:val="24"/>
          <w:szCs w:val="24"/>
        </w:rPr>
        <w:t>FY 2019-2020 Regional Application</w:t>
      </w:r>
      <w:r>
        <w:rPr>
          <w:rFonts w:ascii="Arial" w:hAnsi="Arial" w:cs="Arial"/>
          <w:b/>
          <w:color w:val="auto"/>
          <w:sz w:val="24"/>
          <w:szCs w:val="24"/>
        </w:rPr>
        <w:t xml:space="preserve"> Review Tool</w:t>
      </w:r>
      <w:r>
        <w:rPr>
          <w:rFonts w:ascii="Arial" w:hAnsi="Arial" w:cs="Arial"/>
          <w:b/>
          <w:color w:val="auto"/>
          <w:sz w:val="24"/>
          <w:szCs w:val="24"/>
        </w:rPr>
        <w:br/>
      </w:r>
      <w:r>
        <w:rPr>
          <w:rStyle w:val="SubtitleChar"/>
          <w:rFonts w:ascii="Arial" w:hAnsi="Arial" w:cs="Arial"/>
          <w:color w:val="auto"/>
          <w:sz w:val="24"/>
        </w:rPr>
        <w:t>Funding for the 2020 Program Year (January 1, 2020 – December 31, 2020)</w:t>
      </w:r>
      <w:r>
        <w:rPr>
          <w:rFonts w:ascii="Arial" w:hAnsi="Arial" w:cs="Arial"/>
          <w:color w:val="auto"/>
          <w:sz w:val="24"/>
          <w:szCs w:val="24"/>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25"/>
        <w:gridCol w:w="8010"/>
      </w:tblGrid>
      <w:tr w:rsidR="00740909" w:rsidRPr="00F931EE" w14:paraId="5232F64B" w14:textId="77777777" w:rsidTr="007975F6">
        <w:trPr>
          <w:trHeight w:val="576"/>
        </w:trPr>
        <w:tc>
          <w:tcPr>
            <w:tcW w:w="2425" w:type="dxa"/>
            <w:vAlign w:val="center"/>
          </w:tcPr>
          <w:p w14:paraId="4900A8ED" w14:textId="5BA5D0F8" w:rsidR="00740909" w:rsidRPr="002158A0" w:rsidRDefault="00740909" w:rsidP="00734F17">
            <w:pPr>
              <w:tabs>
                <w:tab w:val="left" w:pos="720"/>
              </w:tabs>
              <w:rPr>
                <w:szCs w:val="32"/>
              </w:rPr>
            </w:pPr>
            <w:r>
              <w:rPr>
                <w:szCs w:val="32"/>
              </w:rPr>
              <w:t>LPA:</w:t>
            </w:r>
          </w:p>
        </w:tc>
        <w:tc>
          <w:tcPr>
            <w:tcW w:w="8010" w:type="dxa"/>
            <w:vAlign w:val="center"/>
          </w:tcPr>
          <w:p w14:paraId="395D7A8B" w14:textId="227413B6" w:rsidR="00740909" w:rsidRPr="002158A0" w:rsidRDefault="00740909" w:rsidP="00734F17">
            <w:pPr>
              <w:tabs>
                <w:tab w:val="left" w:pos="720"/>
              </w:tabs>
              <w:rPr>
                <w:szCs w:val="32"/>
              </w:rPr>
            </w:pPr>
          </w:p>
        </w:tc>
      </w:tr>
      <w:tr w:rsidR="00351773" w:rsidRPr="00F931EE" w14:paraId="38F1EF5F" w14:textId="77777777" w:rsidTr="007975F6">
        <w:trPr>
          <w:trHeight w:val="576"/>
        </w:trPr>
        <w:tc>
          <w:tcPr>
            <w:tcW w:w="2425" w:type="dxa"/>
            <w:vAlign w:val="center"/>
          </w:tcPr>
          <w:p w14:paraId="133254F5" w14:textId="49ED8789" w:rsidR="00351773" w:rsidRDefault="00351773" w:rsidP="00734F17">
            <w:pPr>
              <w:tabs>
                <w:tab w:val="left" w:pos="720"/>
              </w:tabs>
              <w:rPr>
                <w:szCs w:val="32"/>
              </w:rPr>
            </w:pPr>
            <w:r>
              <w:rPr>
                <w:szCs w:val="32"/>
              </w:rPr>
              <w:t>Lead Agency Name:</w:t>
            </w:r>
          </w:p>
        </w:tc>
        <w:tc>
          <w:tcPr>
            <w:tcW w:w="8010" w:type="dxa"/>
            <w:vAlign w:val="center"/>
          </w:tcPr>
          <w:p w14:paraId="0CF1F287" w14:textId="77777777" w:rsidR="00351773" w:rsidRPr="00874CFA" w:rsidRDefault="00351773" w:rsidP="00734F17">
            <w:pPr>
              <w:tabs>
                <w:tab w:val="left" w:pos="720"/>
              </w:tabs>
              <w:rPr>
                <w:rFonts w:asciiTheme="majorHAnsi" w:hAnsiTheme="majorHAnsi"/>
                <w:szCs w:val="32"/>
              </w:rPr>
            </w:pPr>
          </w:p>
        </w:tc>
      </w:tr>
      <w:tr w:rsidR="00740909" w:rsidRPr="00127D21" w14:paraId="6AE55BF2" w14:textId="77777777" w:rsidTr="007975F6">
        <w:trPr>
          <w:trHeight w:val="576"/>
        </w:trPr>
        <w:tc>
          <w:tcPr>
            <w:tcW w:w="2425" w:type="dxa"/>
            <w:vAlign w:val="center"/>
          </w:tcPr>
          <w:p w14:paraId="0EA97377" w14:textId="77777777" w:rsidR="00740909" w:rsidRPr="002158A0" w:rsidRDefault="00740909" w:rsidP="00734F17">
            <w:pPr>
              <w:tabs>
                <w:tab w:val="left" w:pos="720"/>
              </w:tabs>
              <w:rPr>
                <w:szCs w:val="32"/>
              </w:rPr>
            </w:pPr>
            <w:r>
              <w:rPr>
                <w:szCs w:val="32"/>
              </w:rPr>
              <w:t>Reviewer Name:</w:t>
            </w:r>
          </w:p>
        </w:tc>
        <w:tc>
          <w:tcPr>
            <w:tcW w:w="8010" w:type="dxa"/>
            <w:vAlign w:val="center"/>
          </w:tcPr>
          <w:p w14:paraId="15BF6729" w14:textId="387577B3" w:rsidR="00740909" w:rsidRPr="002158A0" w:rsidRDefault="00740909" w:rsidP="00734F17">
            <w:pPr>
              <w:tabs>
                <w:tab w:val="left" w:pos="720"/>
                <w:tab w:val="left" w:pos="7452"/>
              </w:tabs>
              <w:ind w:right="1152"/>
              <w:jc w:val="right"/>
              <w:rPr>
                <w:szCs w:val="32"/>
              </w:rPr>
            </w:pPr>
          </w:p>
        </w:tc>
      </w:tr>
      <w:tr w:rsidR="007975F6" w:rsidRPr="00127D21" w14:paraId="4A1F8ADB" w14:textId="77777777" w:rsidTr="007975F6">
        <w:trPr>
          <w:trHeight w:val="576"/>
        </w:trPr>
        <w:tc>
          <w:tcPr>
            <w:tcW w:w="2425" w:type="dxa"/>
            <w:vAlign w:val="center"/>
          </w:tcPr>
          <w:p w14:paraId="60E77EC6" w14:textId="2A924469" w:rsidR="007975F6" w:rsidRDefault="007975F6" w:rsidP="00734F17">
            <w:pPr>
              <w:tabs>
                <w:tab w:val="left" w:pos="720"/>
              </w:tabs>
              <w:rPr>
                <w:szCs w:val="32"/>
              </w:rPr>
            </w:pPr>
            <w:r>
              <w:rPr>
                <w:szCs w:val="32"/>
              </w:rPr>
              <w:t>Flash Drive Correct?</w:t>
            </w:r>
          </w:p>
        </w:tc>
        <w:tc>
          <w:tcPr>
            <w:tcW w:w="8010" w:type="dxa"/>
            <w:vAlign w:val="center"/>
          </w:tcPr>
          <w:p w14:paraId="2BF7525D" w14:textId="75DC5752" w:rsidR="007975F6" w:rsidRPr="007975F6" w:rsidRDefault="007975F6" w:rsidP="007975F6">
            <w:pPr>
              <w:tabs>
                <w:tab w:val="left" w:pos="720"/>
                <w:tab w:val="left" w:pos="7452"/>
              </w:tabs>
              <w:ind w:right="1152"/>
              <w:rPr>
                <w:szCs w:val="32"/>
              </w:rPr>
            </w:pPr>
            <w:sdt>
              <w:sdtPr>
                <w:rPr>
                  <w:szCs w:val="32"/>
                </w:rPr>
                <w:id w:val="-178821735"/>
                <w14:checkbox>
                  <w14:checked w14:val="0"/>
                  <w14:checkedState w14:val="2612" w14:font="MS Gothic"/>
                  <w14:uncheckedState w14:val="2610" w14:font="MS Gothic"/>
                </w14:checkbox>
              </w:sdtPr>
              <w:sdtContent>
                <w:r>
                  <w:rPr>
                    <w:rFonts w:ascii="MS Gothic" w:eastAsia="MS Gothic" w:hAnsi="MS Gothic" w:hint="eastAsia"/>
                    <w:szCs w:val="32"/>
                  </w:rPr>
                  <w:t>☐</w:t>
                </w:r>
              </w:sdtContent>
            </w:sdt>
            <w:r w:rsidRPr="007975F6">
              <w:rPr>
                <w:szCs w:val="32"/>
              </w:rPr>
              <w:t xml:space="preserve">Yes </w:t>
            </w:r>
            <w:r>
              <w:rPr>
                <w:szCs w:val="32"/>
              </w:rPr>
              <w:t xml:space="preserve">            </w:t>
            </w:r>
            <w:sdt>
              <w:sdtPr>
                <w:rPr>
                  <w:szCs w:val="32"/>
                </w:rPr>
                <w:id w:val="-354508103"/>
                <w14:checkbox>
                  <w14:checked w14:val="0"/>
                  <w14:checkedState w14:val="2612" w14:font="MS Gothic"/>
                  <w14:uncheckedState w14:val="2610" w14:font="MS Gothic"/>
                </w14:checkbox>
              </w:sdtPr>
              <w:sdtContent>
                <w:r>
                  <w:rPr>
                    <w:rFonts w:ascii="MS Gothic" w:eastAsia="MS Gothic" w:hAnsi="MS Gothic" w:hint="eastAsia"/>
                    <w:szCs w:val="32"/>
                  </w:rPr>
                  <w:t>☐</w:t>
                </w:r>
              </w:sdtContent>
            </w:sdt>
            <w:r>
              <w:rPr>
                <w:szCs w:val="32"/>
              </w:rPr>
              <w:t xml:space="preserve"> No</w:t>
            </w:r>
          </w:p>
        </w:tc>
      </w:tr>
    </w:tbl>
    <w:p w14:paraId="019F2D05" w14:textId="77777777" w:rsidR="00740909" w:rsidRDefault="00740909" w:rsidP="00740909">
      <w:pPr>
        <w:pStyle w:val="Heading2"/>
        <w:ind w:right="800"/>
      </w:pPr>
      <w:r>
        <w:t xml:space="preserve">Comments, Recommendations, or Requirements: </w:t>
      </w:r>
    </w:p>
    <w:p w14:paraId="48B96804" w14:textId="74E7F7DE" w:rsidR="00740909" w:rsidRPr="00F40259" w:rsidRDefault="00740909" w:rsidP="00740909">
      <w:pPr>
        <w:rPr>
          <w:sz w:val="24"/>
        </w:rPr>
      </w:pPr>
      <w:r w:rsidRPr="00F40259">
        <w:rPr>
          <w:sz w:val="24"/>
        </w:rPr>
        <w:t>Please note special considerations found below:</w:t>
      </w:r>
    </w:p>
    <w:tbl>
      <w:tblPr>
        <w:tblStyle w:val="TableGrid"/>
        <w:tblW w:w="1044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40"/>
      </w:tblGrid>
      <w:tr w:rsidR="00740909" w14:paraId="4A0C6349" w14:textId="77777777" w:rsidTr="007975F6">
        <w:trPr>
          <w:trHeight w:val="6165"/>
        </w:trPr>
        <w:tc>
          <w:tcPr>
            <w:tcW w:w="10440" w:type="dxa"/>
          </w:tcPr>
          <w:p w14:paraId="46B3442D" w14:textId="578ECD70" w:rsidR="00740909" w:rsidRDefault="00740909" w:rsidP="00734F17">
            <w:pPr>
              <w:rPr>
                <w:rFonts w:asciiTheme="majorHAnsi" w:hAnsiTheme="majorHAnsi"/>
                <w:szCs w:val="32"/>
              </w:rPr>
            </w:pPr>
          </w:p>
          <w:p w14:paraId="664B4B83" w14:textId="77777777" w:rsidR="00740909" w:rsidRDefault="00740909" w:rsidP="00734F17">
            <w:pPr>
              <w:rPr>
                <w:rFonts w:asciiTheme="majorHAnsi" w:hAnsiTheme="majorHAnsi"/>
                <w:szCs w:val="32"/>
              </w:rPr>
            </w:pPr>
          </w:p>
          <w:p w14:paraId="719CC045" w14:textId="77777777" w:rsidR="00740909" w:rsidRDefault="00740909" w:rsidP="00734F17">
            <w:pPr>
              <w:rPr>
                <w:rFonts w:asciiTheme="majorHAnsi" w:hAnsiTheme="majorHAnsi"/>
                <w:szCs w:val="32"/>
              </w:rPr>
            </w:pPr>
          </w:p>
          <w:p w14:paraId="2589158C" w14:textId="77777777" w:rsidR="00740909" w:rsidRDefault="00740909" w:rsidP="00734F17"/>
          <w:p w14:paraId="170C66B7" w14:textId="77777777" w:rsidR="00740909" w:rsidRDefault="00740909" w:rsidP="00734F17"/>
          <w:p w14:paraId="51CD3F90" w14:textId="77777777" w:rsidR="00740909" w:rsidRDefault="00740909" w:rsidP="00734F17"/>
        </w:tc>
      </w:tr>
    </w:tbl>
    <w:p w14:paraId="5849B78B" w14:textId="714B12D2" w:rsidR="00920602" w:rsidRDefault="00920602" w:rsidP="00740909"/>
    <w:p w14:paraId="681DF155" w14:textId="77777777" w:rsidR="00920602" w:rsidRDefault="00920602">
      <w:r>
        <w:br w:type="page"/>
      </w:r>
    </w:p>
    <w:p w14:paraId="0E912527" w14:textId="77777777" w:rsidR="00740909" w:rsidRDefault="00740909" w:rsidP="00740909"/>
    <w:p w14:paraId="13BF974D" w14:textId="28D005B6" w:rsidR="0063313D" w:rsidRDefault="0063313D" w:rsidP="0063313D">
      <w:pPr>
        <w:pStyle w:val="Heading2"/>
      </w:pPr>
      <w:r>
        <w:t>Regional Application Required Documents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0"/>
        <w:gridCol w:w="6599"/>
        <w:gridCol w:w="1505"/>
        <w:gridCol w:w="1303"/>
        <w:gridCol w:w="1103"/>
      </w:tblGrid>
      <w:tr w:rsidR="00351773" w14:paraId="7515D5F9" w14:textId="5BE5582B" w:rsidTr="00351773">
        <w:trPr>
          <w:trHeight w:val="224"/>
        </w:trPr>
        <w:tc>
          <w:tcPr>
            <w:tcW w:w="32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81C215E" w14:textId="384D04ED" w:rsidR="00351773" w:rsidRDefault="00351773" w:rsidP="00351773">
            <w:pPr>
              <w:spacing w:line="256" w:lineRule="auto"/>
              <w:jc w:val="center"/>
              <w:rPr>
                <w:rFonts w:cstheme="minorHAnsi"/>
                <w:b/>
                <w:bCs/>
                <w:sz w:val="20"/>
                <w:szCs w:val="20"/>
              </w:rPr>
            </w:pPr>
            <w:r>
              <w:rPr>
                <w:rFonts w:ascii="Arial" w:hAnsi="Arial" w:cs="Arial"/>
                <w:b/>
                <w:bCs/>
                <w:sz w:val="24"/>
              </w:rPr>
              <w:t>TAB</w:t>
            </w:r>
          </w:p>
        </w:tc>
        <w:tc>
          <w:tcPr>
            <w:tcW w:w="29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hideMark/>
          </w:tcPr>
          <w:p w14:paraId="2A38D610" w14:textId="35759BF0" w:rsidR="00351773" w:rsidRDefault="00351773" w:rsidP="00351773">
            <w:pPr>
              <w:spacing w:line="256" w:lineRule="auto"/>
              <w:jc w:val="center"/>
              <w:rPr>
                <w:rFonts w:cstheme="minorHAnsi"/>
                <w:sz w:val="20"/>
                <w:szCs w:val="20"/>
              </w:rPr>
            </w:pPr>
            <w:r>
              <w:rPr>
                <w:rFonts w:ascii="Arial" w:hAnsi="Arial" w:cs="Arial"/>
                <w:b/>
                <w:bCs/>
                <w:sz w:val="24"/>
              </w:rPr>
              <w:t>Document</w:t>
            </w:r>
          </w:p>
        </w:tc>
        <w:tc>
          <w:tcPr>
            <w:tcW w:w="67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68F565" w14:textId="31441F67" w:rsidR="00351773" w:rsidRPr="00351773" w:rsidRDefault="00351773" w:rsidP="00351773">
            <w:pPr>
              <w:tabs>
                <w:tab w:val="left" w:pos="2146"/>
              </w:tabs>
              <w:spacing w:line="256" w:lineRule="auto"/>
              <w:ind w:right="46"/>
              <w:jc w:val="center"/>
              <w:rPr>
                <w:rFonts w:ascii="Arial Narrow" w:hAnsi="Arial Narrow" w:cs="Arial"/>
                <w:b/>
                <w:sz w:val="28"/>
                <w:szCs w:val="28"/>
              </w:rPr>
            </w:pPr>
            <w:r w:rsidRPr="00351773">
              <w:rPr>
                <w:rFonts w:ascii="Arial Narrow" w:hAnsi="Arial Narrow" w:cs="Arial"/>
                <w:b/>
                <w:sz w:val="28"/>
                <w:szCs w:val="28"/>
              </w:rPr>
              <w:t>Yes</w:t>
            </w:r>
          </w:p>
        </w:tc>
        <w:tc>
          <w:tcPr>
            <w:tcW w:w="58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27644C" w14:textId="3E7EDE87" w:rsidR="00351773" w:rsidRPr="00351773" w:rsidRDefault="00351773" w:rsidP="00351773">
            <w:pPr>
              <w:tabs>
                <w:tab w:val="left" w:pos="2146"/>
              </w:tabs>
              <w:spacing w:line="256" w:lineRule="auto"/>
              <w:ind w:right="46"/>
              <w:jc w:val="center"/>
              <w:rPr>
                <w:rFonts w:ascii="Arial Narrow" w:hAnsi="Arial Narrow" w:cs="Arial"/>
                <w:b/>
                <w:sz w:val="28"/>
                <w:szCs w:val="28"/>
              </w:rPr>
            </w:pPr>
            <w:r w:rsidRPr="00351773">
              <w:rPr>
                <w:rFonts w:ascii="Arial Narrow" w:hAnsi="Arial Narrow" w:cs="Arial"/>
                <w:b/>
                <w:sz w:val="28"/>
                <w:szCs w:val="28"/>
              </w:rPr>
              <w:t>No</w:t>
            </w:r>
          </w:p>
        </w:tc>
        <w:tc>
          <w:tcPr>
            <w:tcW w:w="49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745825" w14:textId="2DCF72AC" w:rsidR="00351773" w:rsidRPr="00351773" w:rsidRDefault="00351773" w:rsidP="00351773">
            <w:pPr>
              <w:tabs>
                <w:tab w:val="left" w:pos="2146"/>
              </w:tabs>
              <w:spacing w:line="256" w:lineRule="auto"/>
              <w:ind w:right="160"/>
              <w:jc w:val="center"/>
              <w:rPr>
                <w:rFonts w:ascii="Arial Narrow" w:hAnsi="Arial Narrow" w:cs="Arial"/>
                <w:b/>
                <w:sz w:val="28"/>
                <w:szCs w:val="28"/>
              </w:rPr>
            </w:pPr>
            <w:r w:rsidRPr="00351773">
              <w:rPr>
                <w:rFonts w:ascii="Arial Narrow" w:hAnsi="Arial Narrow" w:cs="Arial"/>
                <w:b/>
                <w:sz w:val="28"/>
                <w:szCs w:val="28"/>
              </w:rPr>
              <w:t xml:space="preserve">   N/A</w:t>
            </w:r>
          </w:p>
        </w:tc>
      </w:tr>
      <w:tr w:rsidR="00351773" w:rsidRPr="006B0EB3" w14:paraId="776308F1" w14:textId="46795B09" w:rsidTr="00351773">
        <w:tblPrEx>
          <w:tblLook w:val="0000" w:firstRow="0" w:lastRow="0" w:firstColumn="0" w:lastColumn="0" w:noHBand="0" w:noVBand="0"/>
        </w:tblPrEx>
        <w:trPr>
          <w:trHeight w:val="440"/>
        </w:trPr>
        <w:tc>
          <w:tcPr>
            <w:tcW w:w="321" w:type="pct"/>
            <w:vAlign w:val="center"/>
          </w:tcPr>
          <w:p w14:paraId="3677EF0E" w14:textId="2CCEFBA1" w:rsidR="00351773" w:rsidRPr="00AD065B" w:rsidRDefault="00351773" w:rsidP="00351773">
            <w:pPr>
              <w:jc w:val="center"/>
              <w:rPr>
                <w:rFonts w:ascii="Arial" w:hAnsi="Arial" w:cs="Arial"/>
                <w:b/>
                <w:bCs/>
                <w:sz w:val="20"/>
                <w:szCs w:val="20"/>
              </w:rPr>
            </w:pPr>
            <w:r>
              <w:rPr>
                <w:rFonts w:ascii="Arial" w:hAnsi="Arial" w:cs="Arial"/>
                <w:b/>
                <w:bCs/>
                <w:sz w:val="24"/>
              </w:rPr>
              <w:t>1</w:t>
            </w:r>
          </w:p>
        </w:tc>
        <w:tc>
          <w:tcPr>
            <w:tcW w:w="2938" w:type="pct"/>
            <w:shd w:val="clear" w:color="auto" w:fill="auto"/>
            <w:vAlign w:val="center"/>
          </w:tcPr>
          <w:p w14:paraId="06235D3C" w14:textId="36905789" w:rsidR="00351773" w:rsidRPr="00AD065B" w:rsidRDefault="00351773" w:rsidP="00351773">
            <w:pPr>
              <w:rPr>
                <w:rFonts w:ascii="Arial" w:hAnsi="Arial" w:cs="Arial"/>
                <w:b/>
                <w:bCs/>
                <w:sz w:val="20"/>
                <w:szCs w:val="20"/>
              </w:rPr>
            </w:pPr>
            <w:r>
              <w:rPr>
                <w:rFonts w:ascii="Arial" w:hAnsi="Arial" w:cs="Arial"/>
                <w:sz w:val="24"/>
              </w:rPr>
              <w:t>Signed, completed Regional Application (Word document)</w:t>
            </w:r>
          </w:p>
        </w:tc>
        <w:tc>
          <w:tcPr>
            <w:tcW w:w="670" w:type="pct"/>
            <w:shd w:val="clear" w:color="auto" w:fill="auto"/>
            <w:vAlign w:val="center"/>
          </w:tcPr>
          <w:p w14:paraId="321AB2BF" w14:textId="37775E56"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454807E0"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55DFCC58" w14:textId="5C96859A"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6CA1C4D9" w14:textId="5C4399FB" w:rsidTr="00351773">
        <w:tblPrEx>
          <w:tblLook w:val="0000" w:firstRow="0" w:lastRow="0" w:firstColumn="0" w:lastColumn="0" w:noHBand="0" w:noVBand="0"/>
        </w:tblPrEx>
        <w:trPr>
          <w:trHeight w:val="440"/>
        </w:trPr>
        <w:tc>
          <w:tcPr>
            <w:tcW w:w="321" w:type="pct"/>
            <w:vAlign w:val="center"/>
          </w:tcPr>
          <w:p w14:paraId="2D5B0D53" w14:textId="38D29A05" w:rsidR="00351773" w:rsidRPr="00AD065B" w:rsidRDefault="00351773" w:rsidP="00351773">
            <w:pPr>
              <w:jc w:val="center"/>
              <w:rPr>
                <w:rFonts w:ascii="Arial" w:hAnsi="Arial" w:cs="Arial"/>
                <w:b/>
                <w:bCs/>
                <w:sz w:val="20"/>
                <w:szCs w:val="20"/>
              </w:rPr>
            </w:pPr>
            <w:r>
              <w:rPr>
                <w:rFonts w:ascii="Arial" w:hAnsi="Arial" w:cs="Arial"/>
                <w:b/>
                <w:bCs/>
                <w:sz w:val="24"/>
              </w:rPr>
              <w:t>2</w:t>
            </w:r>
          </w:p>
        </w:tc>
        <w:tc>
          <w:tcPr>
            <w:tcW w:w="2938" w:type="pct"/>
            <w:tcBorders>
              <w:bottom w:val="single" w:sz="4" w:space="0" w:color="D9D9D9" w:themeColor="background1" w:themeShade="D9"/>
            </w:tcBorders>
            <w:shd w:val="clear" w:color="auto" w:fill="auto"/>
            <w:vAlign w:val="center"/>
          </w:tcPr>
          <w:p w14:paraId="500FB3B6" w14:textId="72B6FF41" w:rsidR="00351773" w:rsidRPr="00AD065B" w:rsidRDefault="00351773" w:rsidP="00351773">
            <w:pPr>
              <w:rPr>
                <w:rFonts w:ascii="Arial" w:hAnsi="Arial" w:cs="Arial"/>
                <w:b/>
                <w:bCs/>
                <w:sz w:val="20"/>
                <w:szCs w:val="20"/>
              </w:rPr>
            </w:pPr>
            <w:r>
              <w:rPr>
                <w:rFonts w:ascii="Arial" w:hAnsi="Arial" w:cs="Arial"/>
                <w:sz w:val="24"/>
              </w:rPr>
              <w:t>Fiscal Sponsor application (if applicable)</w:t>
            </w:r>
          </w:p>
        </w:tc>
        <w:tc>
          <w:tcPr>
            <w:tcW w:w="670" w:type="pct"/>
            <w:tcBorders>
              <w:bottom w:val="single" w:sz="4" w:space="0" w:color="D9D9D9" w:themeColor="background1" w:themeShade="D9"/>
            </w:tcBorders>
            <w:shd w:val="clear" w:color="auto" w:fill="auto"/>
            <w:vAlign w:val="center"/>
          </w:tcPr>
          <w:p w14:paraId="191AE1BA" w14:textId="796ACE66"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tcBorders>
              <w:bottom w:val="single" w:sz="4" w:space="0" w:color="D9D9D9" w:themeColor="background1" w:themeShade="D9"/>
            </w:tcBorders>
            <w:vAlign w:val="center"/>
          </w:tcPr>
          <w:p w14:paraId="3752555E"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tcBorders>
              <w:bottom w:val="single" w:sz="4" w:space="0" w:color="D9D9D9" w:themeColor="background1" w:themeShade="D9"/>
            </w:tcBorders>
            <w:vAlign w:val="center"/>
          </w:tcPr>
          <w:p w14:paraId="2D8EEDC0" w14:textId="7AE40A89"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0FDD6E79" w14:textId="5F439D50" w:rsidTr="00351773">
        <w:tblPrEx>
          <w:tblLook w:val="0000" w:firstRow="0" w:lastRow="0" w:firstColumn="0" w:lastColumn="0" w:noHBand="0" w:noVBand="0"/>
        </w:tblPrEx>
        <w:trPr>
          <w:trHeight w:val="369"/>
        </w:trPr>
        <w:tc>
          <w:tcPr>
            <w:tcW w:w="321" w:type="pct"/>
            <w:vAlign w:val="center"/>
          </w:tcPr>
          <w:p w14:paraId="1509A089" w14:textId="748D20B7" w:rsidR="00351773" w:rsidRPr="00351773" w:rsidRDefault="00351773" w:rsidP="00351773">
            <w:pPr>
              <w:jc w:val="center"/>
              <w:rPr>
                <w:rFonts w:ascii="Arial" w:hAnsi="Arial" w:cs="Arial"/>
                <w:b/>
                <w:bCs/>
                <w:sz w:val="24"/>
              </w:rPr>
            </w:pPr>
            <w:r>
              <w:rPr>
                <w:rFonts w:ascii="Arial" w:hAnsi="Arial" w:cs="Arial"/>
                <w:b/>
                <w:bCs/>
                <w:sz w:val="24"/>
              </w:rPr>
              <w:t>3</w:t>
            </w:r>
          </w:p>
        </w:tc>
        <w:tc>
          <w:tcPr>
            <w:tcW w:w="2938" w:type="pct"/>
            <w:tcBorders>
              <w:bottom w:val="single" w:sz="4" w:space="0" w:color="D9D9D9" w:themeColor="background1" w:themeShade="D9"/>
            </w:tcBorders>
            <w:shd w:val="clear" w:color="auto" w:fill="auto"/>
            <w:vAlign w:val="center"/>
          </w:tcPr>
          <w:p w14:paraId="070F93BF" w14:textId="77777777" w:rsidR="00351773" w:rsidRPr="00AD065B" w:rsidRDefault="00351773" w:rsidP="00351773">
            <w:pPr>
              <w:rPr>
                <w:rFonts w:ascii="Arial" w:hAnsi="Arial" w:cs="Arial"/>
                <w:sz w:val="20"/>
                <w:szCs w:val="20"/>
              </w:rPr>
            </w:pPr>
            <w:r>
              <w:rPr>
                <w:rFonts w:ascii="Arial" w:hAnsi="Arial" w:cs="Arial"/>
                <w:sz w:val="24"/>
              </w:rPr>
              <w:t xml:space="preserve">Regional Budget Worksheet (Excel spreadsheet) </w:t>
            </w:r>
          </w:p>
        </w:tc>
        <w:tc>
          <w:tcPr>
            <w:tcW w:w="670" w:type="pct"/>
            <w:tcBorders>
              <w:bottom w:val="single" w:sz="4" w:space="0" w:color="D9D9D9" w:themeColor="background1" w:themeShade="D9"/>
            </w:tcBorders>
            <w:shd w:val="clear" w:color="auto" w:fill="auto"/>
            <w:vAlign w:val="center"/>
          </w:tcPr>
          <w:p w14:paraId="7BA3C865" w14:textId="3762BFEE" w:rsidR="00351773" w:rsidRPr="00AD065B" w:rsidRDefault="00351773" w:rsidP="00351773">
            <w:pPr>
              <w:jc w:val="center"/>
              <w:rPr>
                <w:rFonts w:ascii="Arial" w:hAnsi="Arial" w:cs="Arial"/>
                <w:sz w:val="20"/>
                <w:szCs w:val="20"/>
              </w:rPr>
            </w:pPr>
            <w:r w:rsidRPr="00AD065B">
              <w:rPr>
                <w:rFonts w:ascii="Arial" w:hAnsi="Arial" w:cs="Arial"/>
                <w:b/>
                <w:szCs w:val="22"/>
              </w:rPr>
              <w:t></w:t>
            </w:r>
          </w:p>
        </w:tc>
        <w:tc>
          <w:tcPr>
            <w:tcW w:w="580" w:type="pct"/>
            <w:tcBorders>
              <w:bottom w:val="single" w:sz="4" w:space="0" w:color="D9D9D9" w:themeColor="background1" w:themeShade="D9"/>
            </w:tcBorders>
            <w:shd w:val="clear" w:color="auto" w:fill="auto"/>
            <w:vAlign w:val="center"/>
          </w:tcPr>
          <w:p w14:paraId="554BCBDE" w14:textId="6269D3D1" w:rsidR="00351773" w:rsidRPr="00AD065B" w:rsidRDefault="00351773" w:rsidP="00351773">
            <w:pPr>
              <w:jc w:val="center"/>
              <w:rPr>
                <w:rFonts w:ascii="Arial" w:hAnsi="Arial" w:cs="Arial"/>
                <w:sz w:val="20"/>
                <w:szCs w:val="20"/>
              </w:rPr>
            </w:pPr>
            <w:r w:rsidRPr="00AD065B">
              <w:rPr>
                <w:rFonts w:ascii="Arial" w:hAnsi="Arial" w:cs="Arial"/>
                <w:b/>
                <w:szCs w:val="22"/>
              </w:rPr>
              <w:t></w:t>
            </w:r>
          </w:p>
        </w:tc>
        <w:tc>
          <w:tcPr>
            <w:tcW w:w="491" w:type="pct"/>
            <w:tcBorders>
              <w:bottom w:val="single" w:sz="4" w:space="0" w:color="D9D9D9" w:themeColor="background1" w:themeShade="D9"/>
            </w:tcBorders>
            <w:shd w:val="clear" w:color="auto" w:fill="auto"/>
            <w:vAlign w:val="center"/>
          </w:tcPr>
          <w:p w14:paraId="3FF6F99A" w14:textId="10EFE846" w:rsidR="00351773" w:rsidRPr="00AD065B" w:rsidRDefault="00351773" w:rsidP="00351773">
            <w:pPr>
              <w:jc w:val="center"/>
              <w:rPr>
                <w:rFonts w:ascii="Arial" w:hAnsi="Arial" w:cs="Arial"/>
                <w:sz w:val="20"/>
                <w:szCs w:val="20"/>
              </w:rPr>
            </w:pPr>
            <w:r w:rsidRPr="00AD065B">
              <w:rPr>
                <w:rFonts w:ascii="Arial" w:hAnsi="Arial" w:cs="Arial"/>
                <w:b/>
                <w:szCs w:val="22"/>
              </w:rPr>
              <w:t></w:t>
            </w:r>
          </w:p>
        </w:tc>
      </w:tr>
      <w:tr w:rsidR="00351773" w:rsidRPr="006B0EB3" w14:paraId="2850404B" w14:textId="00D2663C" w:rsidTr="00351773">
        <w:tblPrEx>
          <w:tblLook w:val="0000" w:firstRow="0" w:lastRow="0" w:firstColumn="0" w:lastColumn="0" w:noHBand="0" w:noVBand="0"/>
        </w:tblPrEx>
        <w:trPr>
          <w:trHeight w:val="463"/>
        </w:trPr>
        <w:tc>
          <w:tcPr>
            <w:tcW w:w="321" w:type="pct"/>
            <w:vMerge w:val="restart"/>
            <w:vAlign w:val="center"/>
          </w:tcPr>
          <w:p w14:paraId="3CE3E462" w14:textId="69DC210F" w:rsidR="00351773" w:rsidRPr="00351773" w:rsidRDefault="00351773" w:rsidP="00351773">
            <w:pPr>
              <w:jc w:val="center"/>
              <w:rPr>
                <w:rFonts w:ascii="Arial" w:hAnsi="Arial" w:cs="Arial"/>
                <w:b/>
                <w:bCs/>
                <w:sz w:val="24"/>
              </w:rPr>
            </w:pPr>
            <w:r>
              <w:rPr>
                <w:rFonts w:ascii="Arial" w:hAnsi="Arial" w:cs="Arial"/>
                <w:b/>
                <w:bCs/>
                <w:sz w:val="24"/>
              </w:rPr>
              <w:t>4</w:t>
            </w:r>
          </w:p>
        </w:tc>
        <w:tc>
          <w:tcPr>
            <w:tcW w:w="2938" w:type="pct"/>
            <w:tcBorders>
              <w:top w:val="single" w:sz="4" w:space="0" w:color="D9D9D9" w:themeColor="background1" w:themeShade="D9"/>
            </w:tcBorders>
            <w:shd w:val="clear" w:color="auto" w:fill="auto"/>
            <w:vAlign w:val="center"/>
          </w:tcPr>
          <w:p w14:paraId="33588766" w14:textId="5AF9FAA6" w:rsidR="00351773" w:rsidRPr="00E069A8" w:rsidRDefault="00351773" w:rsidP="00351773">
            <w:pPr>
              <w:rPr>
                <w:rFonts w:ascii="Arial" w:hAnsi="Arial" w:cs="Arial"/>
                <w:sz w:val="20"/>
                <w:szCs w:val="20"/>
              </w:rPr>
            </w:pPr>
            <w:proofErr w:type="spellStart"/>
            <w:r>
              <w:rPr>
                <w:rFonts w:ascii="Arial" w:hAnsi="Arial" w:cs="Arial"/>
                <w:sz w:val="24"/>
              </w:rPr>
              <w:t>CoC</w:t>
            </w:r>
            <w:proofErr w:type="spellEnd"/>
            <w:r>
              <w:rPr>
                <w:rFonts w:ascii="Arial" w:hAnsi="Arial" w:cs="Arial"/>
                <w:sz w:val="24"/>
              </w:rPr>
              <w:t xml:space="preserve"> Policies (in order): </w:t>
            </w:r>
          </w:p>
        </w:tc>
        <w:tc>
          <w:tcPr>
            <w:tcW w:w="670" w:type="pct"/>
            <w:tcBorders>
              <w:top w:val="nil"/>
            </w:tcBorders>
            <w:shd w:val="clear" w:color="auto" w:fill="auto"/>
            <w:vAlign w:val="center"/>
          </w:tcPr>
          <w:p w14:paraId="0DBD67EF" w14:textId="117D11FF"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tcBorders>
              <w:top w:val="nil"/>
            </w:tcBorders>
            <w:vAlign w:val="center"/>
          </w:tcPr>
          <w:p w14:paraId="3648F79E"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tcBorders>
              <w:top w:val="nil"/>
            </w:tcBorders>
            <w:vAlign w:val="center"/>
          </w:tcPr>
          <w:p w14:paraId="22A8C4BF" w14:textId="5FF03F04"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0E36F261" w14:textId="3F9088AA" w:rsidTr="00351773">
        <w:tblPrEx>
          <w:tblLook w:val="0000" w:firstRow="0" w:lastRow="0" w:firstColumn="0" w:lastColumn="0" w:noHBand="0" w:noVBand="0"/>
        </w:tblPrEx>
        <w:trPr>
          <w:trHeight w:val="350"/>
        </w:trPr>
        <w:tc>
          <w:tcPr>
            <w:tcW w:w="321" w:type="pct"/>
            <w:vMerge/>
            <w:vAlign w:val="center"/>
          </w:tcPr>
          <w:p w14:paraId="29BF3332" w14:textId="185A23E9" w:rsidR="00351773" w:rsidRPr="00AD065B" w:rsidRDefault="00351773" w:rsidP="00351773">
            <w:pPr>
              <w:jc w:val="center"/>
              <w:rPr>
                <w:rFonts w:ascii="Arial" w:hAnsi="Arial" w:cs="Arial"/>
                <w:b/>
                <w:bCs/>
                <w:sz w:val="20"/>
                <w:szCs w:val="20"/>
              </w:rPr>
            </w:pPr>
          </w:p>
        </w:tc>
        <w:tc>
          <w:tcPr>
            <w:tcW w:w="2938" w:type="pct"/>
            <w:shd w:val="clear" w:color="auto" w:fill="auto"/>
            <w:vAlign w:val="center"/>
          </w:tcPr>
          <w:p w14:paraId="23B0401A" w14:textId="154B2152" w:rsidR="00351773" w:rsidRPr="00351773" w:rsidRDefault="00351773" w:rsidP="00351773">
            <w:pPr>
              <w:pStyle w:val="ListParagraph"/>
              <w:numPr>
                <w:ilvl w:val="0"/>
                <w:numId w:val="37"/>
              </w:numPr>
              <w:rPr>
                <w:rFonts w:ascii="Arial" w:hAnsi="Arial" w:cs="Arial"/>
                <w:bCs/>
                <w:sz w:val="20"/>
                <w:szCs w:val="20"/>
              </w:rPr>
            </w:pPr>
            <w:r w:rsidRPr="00351773">
              <w:rPr>
                <w:rFonts w:ascii="Arial" w:hAnsi="Arial" w:cs="Arial"/>
                <w:bCs/>
                <w:sz w:val="24"/>
              </w:rPr>
              <w:t xml:space="preserve">Written Standards, </w:t>
            </w:r>
            <w:r w:rsidRPr="00351773">
              <w:rPr>
                <w:rFonts w:ascii="Arial" w:hAnsi="Arial" w:cs="Arial"/>
                <w:bCs/>
                <w:sz w:val="24"/>
                <w:highlight w:val="yellow"/>
              </w:rPr>
              <w:t>including appendix A</w:t>
            </w:r>
            <w:r w:rsidRPr="00351773">
              <w:rPr>
                <w:rFonts w:ascii="Arial" w:hAnsi="Arial" w:cs="Arial"/>
                <w:bCs/>
                <w:sz w:val="24"/>
              </w:rPr>
              <w:t xml:space="preserve"> as a cover page</w:t>
            </w:r>
          </w:p>
        </w:tc>
        <w:tc>
          <w:tcPr>
            <w:tcW w:w="670" w:type="pct"/>
            <w:shd w:val="clear" w:color="auto" w:fill="auto"/>
            <w:vAlign w:val="center"/>
          </w:tcPr>
          <w:p w14:paraId="50D595AD" w14:textId="06282FB1"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2CDBFAF2"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26D7A65B" w14:textId="1EAE6CB3"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2E42242E" w14:textId="3A15C2E2" w:rsidTr="00351773">
        <w:tblPrEx>
          <w:tblLook w:val="0000" w:firstRow="0" w:lastRow="0" w:firstColumn="0" w:lastColumn="0" w:noHBand="0" w:noVBand="0"/>
        </w:tblPrEx>
        <w:trPr>
          <w:trHeight w:val="350"/>
        </w:trPr>
        <w:tc>
          <w:tcPr>
            <w:tcW w:w="321" w:type="pct"/>
            <w:vMerge/>
            <w:vAlign w:val="center"/>
          </w:tcPr>
          <w:p w14:paraId="6CFD2C42" w14:textId="6DA4A20D" w:rsidR="00351773" w:rsidRPr="00AD065B" w:rsidRDefault="00351773" w:rsidP="00351773">
            <w:pPr>
              <w:jc w:val="center"/>
              <w:rPr>
                <w:rFonts w:ascii="Arial" w:hAnsi="Arial" w:cs="Arial"/>
                <w:b/>
                <w:bCs/>
                <w:sz w:val="20"/>
                <w:szCs w:val="20"/>
              </w:rPr>
            </w:pPr>
          </w:p>
        </w:tc>
        <w:tc>
          <w:tcPr>
            <w:tcW w:w="2938" w:type="pct"/>
            <w:shd w:val="clear" w:color="auto" w:fill="auto"/>
            <w:vAlign w:val="center"/>
          </w:tcPr>
          <w:p w14:paraId="785A85A1" w14:textId="77777777" w:rsidR="00351773" w:rsidRPr="00351773" w:rsidRDefault="00351773" w:rsidP="00351773">
            <w:pPr>
              <w:pStyle w:val="ListParagraph"/>
              <w:numPr>
                <w:ilvl w:val="0"/>
                <w:numId w:val="37"/>
              </w:numPr>
              <w:rPr>
                <w:rFonts w:ascii="Arial" w:hAnsi="Arial" w:cs="Arial"/>
                <w:bCs/>
                <w:sz w:val="24"/>
              </w:rPr>
            </w:pPr>
            <w:r w:rsidRPr="00351773">
              <w:rPr>
                <w:rFonts w:ascii="Arial" w:hAnsi="Arial" w:cs="Arial"/>
                <w:bCs/>
                <w:sz w:val="24"/>
              </w:rPr>
              <w:t xml:space="preserve">Coordinated Entry, </w:t>
            </w:r>
            <w:r w:rsidRPr="00351773">
              <w:rPr>
                <w:rFonts w:ascii="Arial" w:hAnsi="Arial" w:cs="Arial"/>
                <w:bCs/>
                <w:sz w:val="24"/>
                <w:highlight w:val="yellow"/>
              </w:rPr>
              <w:t>including appendix B</w:t>
            </w:r>
            <w:r w:rsidRPr="00351773">
              <w:rPr>
                <w:rFonts w:ascii="Arial" w:hAnsi="Arial" w:cs="Arial"/>
                <w:bCs/>
                <w:sz w:val="24"/>
              </w:rPr>
              <w:t xml:space="preserve"> as a cover page</w:t>
            </w:r>
          </w:p>
          <w:p w14:paraId="62D06DB5" w14:textId="7E4A02CE" w:rsidR="00351773" w:rsidRPr="00E069A8" w:rsidRDefault="00351773" w:rsidP="00351773">
            <w:pPr>
              <w:rPr>
                <w:rFonts w:ascii="Arial" w:hAnsi="Arial" w:cs="Arial"/>
                <w:bCs/>
                <w:sz w:val="20"/>
                <w:szCs w:val="20"/>
              </w:rPr>
            </w:pPr>
          </w:p>
        </w:tc>
        <w:tc>
          <w:tcPr>
            <w:tcW w:w="670" w:type="pct"/>
            <w:shd w:val="clear" w:color="auto" w:fill="auto"/>
            <w:vAlign w:val="center"/>
          </w:tcPr>
          <w:p w14:paraId="4797C295" w14:textId="4EBA5ACA"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2410A978"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6FE21910" w14:textId="248CC640"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46AECFBA" w14:textId="4FE86728" w:rsidTr="00351773">
        <w:tblPrEx>
          <w:tblLook w:val="0000" w:firstRow="0" w:lastRow="0" w:firstColumn="0" w:lastColumn="0" w:noHBand="0" w:noVBand="0"/>
        </w:tblPrEx>
        <w:trPr>
          <w:trHeight w:val="350"/>
        </w:trPr>
        <w:tc>
          <w:tcPr>
            <w:tcW w:w="321" w:type="pct"/>
            <w:vMerge/>
            <w:vAlign w:val="center"/>
          </w:tcPr>
          <w:p w14:paraId="3A72CC68" w14:textId="6874918E" w:rsidR="00351773" w:rsidRPr="00AD065B" w:rsidRDefault="00351773" w:rsidP="00351773">
            <w:pPr>
              <w:jc w:val="center"/>
              <w:rPr>
                <w:rFonts w:ascii="Arial" w:hAnsi="Arial" w:cs="Arial"/>
                <w:b/>
                <w:bCs/>
                <w:sz w:val="20"/>
                <w:szCs w:val="20"/>
              </w:rPr>
            </w:pPr>
          </w:p>
        </w:tc>
        <w:tc>
          <w:tcPr>
            <w:tcW w:w="2938" w:type="pct"/>
            <w:shd w:val="clear" w:color="auto" w:fill="auto"/>
            <w:vAlign w:val="center"/>
          </w:tcPr>
          <w:p w14:paraId="4724D2F9" w14:textId="072BF61F" w:rsidR="00351773" w:rsidRPr="00351773" w:rsidRDefault="00351773" w:rsidP="00351773">
            <w:pPr>
              <w:pStyle w:val="ListParagraph"/>
              <w:numPr>
                <w:ilvl w:val="0"/>
                <w:numId w:val="37"/>
              </w:numPr>
              <w:rPr>
                <w:rFonts w:ascii="Arial" w:hAnsi="Arial" w:cs="Arial"/>
                <w:bCs/>
                <w:sz w:val="20"/>
                <w:szCs w:val="20"/>
              </w:rPr>
            </w:pPr>
            <w:r w:rsidRPr="00351773">
              <w:rPr>
                <w:rFonts w:ascii="Arial" w:hAnsi="Arial" w:cs="Arial"/>
                <w:bCs/>
                <w:sz w:val="24"/>
              </w:rPr>
              <w:t>Most recent annual evaluation of coordinated entry process (findings &amp; outcomes)</w:t>
            </w:r>
          </w:p>
        </w:tc>
        <w:tc>
          <w:tcPr>
            <w:tcW w:w="670" w:type="pct"/>
            <w:shd w:val="clear" w:color="auto" w:fill="auto"/>
            <w:vAlign w:val="center"/>
          </w:tcPr>
          <w:p w14:paraId="6118877F" w14:textId="5E39C7C8"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05130B8D"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21CA5C8C" w14:textId="479E5A12"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64CF9247" w14:textId="6B4D39BA" w:rsidTr="00351773">
        <w:tblPrEx>
          <w:tblLook w:val="0000" w:firstRow="0" w:lastRow="0" w:firstColumn="0" w:lastColumn="0" w:noHBand="0" w:noVBand="0"/>
        </w:tblPrEx>
        <w:trPr>
          <w:trHeight w:val="350"/>
        </w:trPr>
        <w:tc>
          <w:tcPr>
            <w:tcW w:w="321" w:type="pct"/>
            <w:vMerge/>
            <w:vAlign w:val="center"/>
          </w:tcPr>
          <w:p w14:paraId="3B63F28E" w14:textId="126F0BD8" w:rsidR="00351773" w:rsidRPr="00AD065B" w:rsidRDefault="00351773" w:rsidP="00351773">
            <w:pPr>
              <w:jc w:val="center"/>
              <w:rPr>
                <w:rFonts w:ascii="Arial" w:hAnsi="Arial" w:cs="Arial"/>
                <w:b/>
                <w:bCs/>
                <w:sz w:val="20"/>
                <w:szCs w:val="20"/>
              </w:rPr>
            </w:pPr>
          </w:p>
        </w:tc>
        <w:tc>
          <w:tcPr>
            <w:tcW w:w="2938" w:type="pct"/>
            <w:shd w:val="clear" w:color="auto" w:fill="auto"/>
            <w:vAlign w:val="center"/>
          </w:tcPr>
          <w:p w14:paraId="7645D7C2" w14:textId="25AACB2F" w:rsidR="00351773" w:rsidRPr="00351773" w:rsidRDefault="00351773" w:rsidP="00351773">
            <w:pPr>
              <w:pStyle w:val="ListParagraph"/>
              <w:numPr>
                <w:ilvl w:val="0"/>
                <w:numId w:val="37"/>
              </w:numPr>
              <w:rPr>
                <w:rFonts w:ascii="Arial" w:hAnsi="Arial" w:cs="Arial"/>
                <w:bCs/>
                <w:sz w:val="20"/>
                <w:szCs w:val="20"/>
              </w:rPr>
            </w:pPr>
            <w:r w:rsidRPr="00351773">
              <w:rPr>
                <w:rFonts w:ascii="Arial" w:hAnsi="Arial" w:cs="Arial"/>
                <w:bCs/>
                <w:sz w:val="24"/>
              </w:rPr>
              <w:t>Violence Against Women Act Policies, (Emergency Transfer Plan) including</w:t>
            </w:r>
            <w:r w:rsidRPr="00351773">
              <w:rPr>
                <w:rFonts w:ascii="Arial" w:hAnsi="Arial" w:cs="Arial"/>
                <w:bCs/>
                <w:sz w:val="24"/>
                <w:highlight w:val="yellow"/>
              </w:rPr>
              <w:t xml:space="preserve"> appendix C as a cover page</w:t>
            </w:r>
          </w:p>
        </w:tc>
        <w:tc>
          <w:tcPr>
            <w:tcW w:w="670" w:type="pct"/>
            <w:shd w:val="clear" w:color="auto" w:fill="auto"/>
            <w:vAlign w:val="center"/>
          </w:tcPr>
          <w:p w14:paraId="045CFF37" w14:textId="69B219AC"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7EB79B59"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0CAC90BB" w14:textId="20F22FB2"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2634FD1F" w14:textId="533908A9" w:rsidTr="00351773">
        <w:tblPrEx>
          <w:tblLook w:val="0000" w:firstRow="0" w:lastRow="0" w:firstColumn="0" w:lastColumn="0" w:noHBand="0" w:noVBand="0"/>
        </w:tblPrEx>
        <w:trPr>
          <w:trHeight w:val="476"/>
        </w:trPr>
        <w:tc>
          <w:tcPr>
            <w:tcW w:w="321" w:type="pct"/>
            <w:vMerge/>
            <w:vAlign w:val="center"/>
          </w:tcPr>
          <w:p w14:paraId="0A2B8BD5" w14:textId="7EEA3B88" w:rsidR="00351773" w:rsidRPr="00AD065B" w:rsidRDefault="00351773" w:rsidP="00351773">
            <w:pPr>
              <w:jc w:val="center"/>
              <w:rPr>
                <w:rFonts w:ascii="Arial" w:hAnsi="Arial" w:cs="Arial"/>
                <w:b/>
                <w:bCs/>
                <w:sz w:val="20"/>
                <w:szCs w:val="20"/>
              </w:rPr>
            </w:pPr>
          </w:p>
        </w:tc>
        <w:tc>
          <w:tcPr>
            <w:tcW w:w="2938" w:type="pct"/>
            <w:shd w:val="clear" w:color="auto" w:fill="auto"/>
            <w:vAlign w:val="center"/>
          </w:tcPr>
          <w:p w14:paraId="6342970F" w14:textId="03D88997" w:rsidR="00351773" w:rsidRPr="00351773" w:rsidRDefault="00351773" w:rsidP="00351773">
            <w:pPr>
              <w:pStyle w:val="ListParagraph"/>
              <w:numPr>
                <w:ilvl w:val="0"/>
                <w:numId w:val="37"/>
              </w:numPr>
              <w:rPr>
                <w:rFonts w:ascii="Arial" w:hAnsi="Arial" w:cs="Arial"/>
                <w:b/>
                <w:bCs/>
                <w:sz w:val="20"/>
                <w:szCs w:val="20"/>
              </w:rPr>
            </w:pPr>
            <w:r w:rsidRPr="00351773">
              <w:rPr>
                <w:rFonts w:ascii="Arial" w:hAnsi="Arial" w:cs="Arial"/>
                <w:bCs/>
                <w:sz w:val="24"/>
              </w:rPr>
              <w:t xml:space="preserve">Nondiscrimination Policy </w:t>
            </w:r>
          </w:p>
        </w:tc>
        <w:tc>
          <w:tcPr>
            <w:tcW w:w="670" w:type="pct"/>
            <w:shd w:val="clear" w:color="auto" w:fill="auto"/>
            <w:vAlign w:val="center"/>
          </w:tcPr>
          <w:p w14:paraId="43A01C48" w14:textId="708FC967"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7069CEF2"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4E0E141C" w14:textId="061C7A43"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4CCB1F63" w14:textId="0D265269" w:rsidTr="00351773">
        <w:tblPrEx>
          <w:tblLook w:val="0000" w:firstRow="0" w:lastRow="0" w:firstColumn="0" w:lastColumn="0" w:noHBand="0" w:noVBand="0"/>
        </w:tblPrEx>
        <w:trPr>
          <w:trHeight w:val="476"/>
        </w:trPr>
        <w:tc>
          <w:tcPr>
            <w:tcW w:w="321" w:type="pct"/>
            <w:vAlign w:val="center"/>
          </w:tcPr>
          <w:p w14:paraId="59DF549E" w14:textId="4FB7B63B" w:rsidR="00351773" w:rsidRPr="00AD065B" w:rsidRDefault="00351773" w:rsidP="00351773">
            <w:pPr>
              <w:jc w:val="center"/>
              <w:rPr>
                <w:rFonts w:ascii="Arial" w:hAnsi="Arial" w:cs="Arial"/>
                <w:b/>
                <w:bCs/>
                <w:sz w:val="20"/>
                <w:szCs w:val="20"/>
              </w:rPr>
            </w:pPr>
            <w:r>
              <w:rPr>
                <w:rFonts w:ascii="Arial" w:hAnsi="Arial" w:cs="Arial"/>
                <w:b/>
                <w:bCs/>
                <w:sz w:val="24"/>
              </w:rPr>
              <w:t>5</w:t>
            </w:r>
          </w:p>
        </w:tc>
        <w:tc>
          <w:tcPr>
            <w:tcW w:w="2938" w:type="pct"/>
            <w:shd w:val="clear" w:color="auto" w:fill="auto"/>
            <w:vAlign w:val="center"/>
          </w:tcPr>
          <w:p w14:paraId="654D6A36" w14:textId="2C6A6726" w:rsidR="00351773" w:rsidRPr="00AD065B" w:rsidRDefault="00351773" w:rsidP="00351773">
            <w:pPr>
              <w:rPr>
                <w:rFonts w:ascii="Arial" w:hAnsi="Arial" w:cs="Arial"/>
                <w:sz w:val="20"/>
                <w:szCs w:val="20"/>
              </w:rPr>
            </w:pPr>
            <w:r>
              <w:rPr>
                <w:rFonts w:ascii="Arial" w:hAnsi="Arial" w:cs="Arial"/>
                <w:sz w:val="24"/>
              </w:rPr>
              <w:t>Public notices to solicit ESG project applications</w:t>
            </w:r>
          </w:p>
        </w:tc>
        <w:tc>
          <w:tcPr>
            <w:tcW w:w="670" w:type="pct"/>
            <w:shd w:val="clear" w:color="auto" w:fill="auto"/>
            <w:vAlign w:val="center"/>
          </w:tcPr>
          <w:p w14:paraId="67BE20BD" w14:textId="572E602A"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03FAEFB8"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123450A0" w14:textId="0D8B1178"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25781D9C" w14:textId="7C05D2BA" w:rsidTr="00351773">
        <w:tblPrEx>
          <w:tblLook w:val="0000" w:firstRow="0" w:lastRow="0" w:firstColumn="0" w:lastColumn="0" w:noHBand="0" w:noVBand="0"/>
        </w:tblPrEx>
        <w:trPr>
          <w:trHeight w:val="476"/>
        </w:trPr>
        <w:tc>
          <w:tcPr>
            <w:tcW w:w="321" w:type="pct"/>
            <w:vAlign w:val="center"/>
          </w:tcPr>
          <w:p w14:paraId="278005FD" w14:textId="735FC00E" w:rsidR="00351773" w:rsidRDefault="00351773" w:rsidP="00351773">
            <w:pPr>
              <w:jc w:val="center"/>
              <w:rPr>
                <w:rFonts w:ascii="Arial" w:hAnsi="Arial" w:cs="Arial"/>
                <w:b/>
                <w:bCs/>
                <w:sz w:val="20"/>
                <w:szCs w:val="20"/>
              </w:rPr>
            </w:pPr>
            <w:r>
              <w:rPr>
                <w:rFonts w:ascii="Arial" w:hAnsi="Arial" w:cs="Arial"/>
                <w:b/>
                <w:bCs/>
                <w:sz w:val="24"/>
              </w:rPr>
              <w:t>6</w:t>
            </w:r>
          </w:p>
        </w:tc>
        <w:tc>
          <w:tcPr>
            <w:tcW w:w="2938" w:type="pct"/>
            <w:shd w:val="clear" w:color="auto" w:fill="auto"/>
            <w:vAlign w:val="center"/>
          </w:tcPr>
          <w:p w14:paraId="6FC200D4" w14:textId="35710F76" w:rsidR="00351773" w:rsidRDefault="00351773" w:rsidP="00351773">
            <w:pPr>
              <w:rPr>
                <w:rFonts w:ascii="Arial" w:hAnsi="Arial" w:cs="Arial"/>
                <w:sz w:val="20"/>
                <w:szCs w:val="20"/>
              </w:rPr>
            </w:pPr>
            <w:r>
              <w:rPr>
                <w:rFonts w:ascii="Arial" w:hAnsi="Arial" w:cs="Arial"/>
                <w:sz w:val="24"/>
              </w:rPr>
              <w:t>Materials used to evaluate ESG project applications</w:t>
            </w:r>
          </w:p>
        </w:tc>
        <w:tc>
          <w:tcPr>
            <w:tcW w:w="670" w:type="pct"/>
            <w:shd w:val="clear" w:color="auto" w:fill="auto"/>
            <w:vAlign w:val="center"/>
          </w:tcPr>
          <w:p w14:paraId="75727966" w14:textId="292C0CE4" w:rsidR="00351773" w:rsidRPr="00E069A8"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43A82AA0" w14:textId="77777777"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06722A27" w14:textId="2B29D3C1"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6383B83B" w14:textId="77777777" w:rsidTr="00351773">
        <w:tblPrEx>
          <w:tblLook w:val="0000" w:firstRow="0" w:lastRow="0" w:firstColumn="0" w:lastColumn="0" w:noHBand="0" w:noVBand="0"/>
        </w:tblPrEx>
        <w:trPr>
          <w:trHeight w:val="476"/>
        </w:trPr>
        <w:tc>
          <w:tcPr>
            <w:tcW w:w="321" w:type="pct"/>
            <w:vAlign w:val="center"/>
          </w:tcPr>
          <w:p w14:paraId="43738338" w14:textId="4F3F9EB4" w:rsidR="00351773" w:rsidRDefault="00351773" w:rsidP="00351773">
            <w:pPr>
              <w:jc w:val="center"/>
              <w:rPr>
                <w:rFonts w:ascii="Arial" w:hAnsi="Arial" w:cs="Arial"/>
                <w:b/>
                <w:bCs/>
                <w:sz w:val="24"/>
              </w:rPr>
            </w:pPr>
            <w:r>
              <w:rPr>
                <w:rFonts w:ascii="Arial" w:hAnsi="Arial" w:cs="Arial"/>
                <w:b/>
                <w:bCs/>
                <w:sz w:val="24"/>
              </w:rPr>
              <w:t>7</w:t>
            </w:r>
          </w:p>
        </w:tc>
        <w:tc>
          <w:tcPr>
            <w:tcW w:w="2938" w:type="pct"/>
            <w:shd w:val="clear" w:color="auto" w:fill="auto"/>
            <w:vAlign w:val="center"/>
          </w:tcPr>
          <w:p w14:paraId="417DC838" w14:textId="695ACD14" w:rsidR="00351773" w:rsidRDefault="00351773" w:rsidP="00351773">
            <w:pPr>
              <w:rPr>
                <w:rFonts w:ascii="Arial" w:hAnsi="Arial" w:cs="Arial"/>
                <w:sz w:val="24"/>
              </w:rPr>
            </w:pPr>
            <w:r>
              <w:rPr>
                <w:rFonts w:ascii="Arial" w:hAnsi="Arial" w:cs="Arial"/>
                <w:sz w:val="24"/>
              </w:rPr>
              <w:t>F</w:t>
            </w:r>
            <w:r>
              <w:rPr>
                <w:rFonts w:ascii="Arial" w:hAnsi="Arial"/>
                <w:sz w:val="24"/>
              </w:rPr>
              <w:t>unding notifications to project applicants</w:t>
            </w:r>
          </w:p>
        </w:tc>
        <w:tc>
          <w:tcPr>
            <w:tcW w:w="670" w:type="pct"/>
            <w:shd w:val="clear" w:color="auto" w:fill="auto"/>
            <w:vAlign w:val="center"/>
          </w:tcPr>
          <w:p w14:paraId="1176F41F" w14:textId="60F21481"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1B8012B2" w14:textId="420990AC"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1B59EA71" w14:textId="04000156" w:rsidR="00351773" w:rsidRPr="00AD065B" w:rsidRDefault="00351773" w:rsidP="00351773">
            <w:pPr>
              <w:jc w:val="center"/>
              <w:rPr>
                <w:rFonts w:ascii="Arial" w:hAnsi="Arial" w:cs="Arial"/>
                <w:b/>
                <w:szCs w:val="22"/>
              </w:rPr>
            </w:pPr>
            <w:r w:rsidRPr="00AD065B">
              <w:rPr>
                <w:rFonts w:ascii="Arial" w:hAnsi="Arial" w:cs="Arial"/>
                <w:b/>
                <w:szCs w:val="22"/>
              </w:rPr>
              <w:t></w:t>
            </w:r>
          </w:p>
        </w:tc>
      </w:tr>
      <w:tr w:rsidR="00351773" w:rsidRPr="006B0EB3" w14:paraId="0A6F6132" w14:textId="77777777" w:rsidTr="00351773">
        <w:tblPrEx>
          <w:tblLook w:val="0000" w:firstRow="0" w:lastRow="0" w:firstColumn="0" w:lastColumn="0" w:noHBand="0" w:noVBand="0"/>
        </w:tblPrEx>
        <w:trPr>
          <w:trHeight w:val="476"/>
        </w:trPr>
        <w:tc>
          <w:tcPr>
            <w:tcW w:w="321" w:type="pct"/>
            <w:vAlign w:val="center"/>
          </w:tcPr>
          <w:p w14:paraId="3FBB74F3" w14:textId="6DF060C7" w:rsidR="00351773" w:rsidRDefault="00351773" w:rsidP="00351773">
            <w:pPr>
              <w:jc w:val="center"/>
              <w:rPr>
                <w:rFonts w:ascii="Arial" w:hAnsi="Arial" w:cs="Arial"/>
                <w:b/>
                <w:bCs/>
                <w:sz w:val="24"/>
              </w:rPr>
            </w:pPr>
            <w:r>
              <w:rPr>
                <w:rFonts w:ascii="Arial" w:hAnsi="Arial" w:cs="Arial"/>
                <w:b/>
                <w:bCs/>
                <w:sz w:val="24"/>
              </w:rPr>
              <w:t>8</w:t>
            </w:r>
          </w:p>
        </w:tc>
        <w:tc>
          <w:tcPr>
            <w:tcW w:w="2938" w:type="pct"/>
            <w:shd w:val="clear" w:color="auto" w:fill="auto"/>
            <w:vAlign w:val="center"/>
          </w:tcPr>
          <w:p w14:paraId="1582681F" w14:textId="649F122D" w:rsidR="00351773" w:rsidRDefault="00351773" w:rsidP="00351773">
            <w:pPr>
              <w:rPr>
                <w:rFonts w:ascii="Arial" w:hAnsi="Arial" w:cs="Arial"/>
                <w:sz w:val="24"/>
              </w:rPr>
            </w:pPr>
            <w:r>
              <w:rPr>
                <w:rFonts w:ascii="Arial" w:hAnsi="Arial" w:cs="Arial"/>
                <w:sz w:val="24"/>
              </w:rPr>
              <w:t>I</w:t>
            </w:r>
            <w:r>
              <w:rPr>
                <w:rFonts w:ascii="Arial" w:hAnsi="Arial"/>
                <w:sz w:val="24"/>
              </w:rPr>
              <w:t>f applicable, any appeals received and outcome of appeal</w:t>
            </w:r>
          </w:p>
        </w:tc>
        <w:tc>
          <w:tcPr>
            <w:tcW w:w="670" w:type="pct"/>
            <w:shd w:val="clear" w:color="auto" w:fill="auto"/>
            <w:vAlign w:val="center"/>
          </w:tcPr>
          <w:p w14:paraId="46E11892" w14:textId="23E1B99C"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580" w:type="pct"/>
            <w:vAlign w:val="center"/>
          </w:tcPr>
          <w:p w14:paraId="4478726E" w14:textId="259A536A" w:rsidR="00351773" w:rsidRPr="00AD065B" w:rsidRDefault="00351773" w:rsidP="00351773">
            <w:pPr>
              <w:jc w:val="center"/>
              <w:rPr>
                <w:rFonts w:ascii="Arial" w:hAnsi="Arial" w:cs="Arial"/>
                <w:b/>
                <w:szCs w:val="22"/>
              </w:rPr>
            </w:pPr>
            <w:r w:rsidRPr="00AD065B">
              <w:rPr>
                <w:rFonts w:ascii="Arial" w:hAnsi="Arial" w:cs="Arial"/>
                <w:b/>
                <w:szCs w:val="22"/>
              </w:rPr>
              <w:t></w:t>
            </w:r>
          </w:p>
        </w:tc>
        <w:tc>
          <w:tcPr>
            <w:tcW w:w="491" w:type="pct"/>
            <w:vAlign w:val="center"/>
          </w:tcPr>
          <w:p w14:paraId="5BCAB42F" w14:textId="2C7ED6C3" w:rsidR="00351773" w:rsidRPr="00AD065B" w:rsidRDefault="00351773" w:rsidP="00351773">
            <w:pPr>
              <w:jc w:val="center"/>
              <w:rPr>
                <w:rFonts w:ascii="Arial" w:hAnsi="Arial" w:cs="Arial"/>
                <w:b/>
                <w:szCs w:val="22"/>
              </w:rPr>
            </w:pPr>
            <w:r w:rsidRPr="00AD065B">
              <w:rPr>
                <w:rFonts w:ascii="Arial" w:hAnsi="Arial" w:cs="Arial"/>
                <w:b/>
                <w:szCs w:val="22"/>
              </w:rPr>
              <w:t></w:t>
            </w:r>
          </w:p>
        </w:tc>
      </w:tr>
    </w:tbl>
    <w:p w14:paraId="6C5094A3" w14:textId="3DA4401E" w:rsidR="00E069A8" w:rsidRDefault="00E069A8" w:rsidP="007D7F73">
      <w:pPr>
        <w:pStyle w:val="NoSpacing"/>
        <w:rPr>
          <w:rFonts w:asciiTheme="minorHAnsi" w:hAnsiTheme="minorHAnsi" w:cstheme="minorHAnsi"/>
          <w:sz w:val="20"/>
          <w:szCs w:val="20"/>
        </w:rPr>
      </w:pPr>
    </w:p>
    <w:p w14:paraId="6BED65A4" w14:textId="77777777" w:rsidR="00351773" w:rsidRDefault="00351773" w:rsidP="00351773">
      <w:pPr>
        <w:pStyle w:val="Heading2"/>
      </w:pPr>
      <w:r>
        <w:t>Budget Review</w:t>
      </w:r>
    </w:p>
    <w:tbl>
      <w:tblPr>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0"/>
        <w:gridCol w:w="2856"/>
        <w:gridCol w:w="2771"/>
        <w:gridCol w:w="2771"/>
      </w:tblGrid>
      <w:tr w:rsidR="00FF3E65" w:rsidRPr="00FF3E65" w14:paraId="72F2D1B3" w14:textId="77777777" w:rsidTr="00FF3E65">
        <w:trPr>
          <w:trHeight w:val="517"/>
        </w:trPr>
        <w:tc>
          <w:tcPr>
            <w:tcW w:w="2870" w:type="dxa"/>
            <w:shd w:val="clear" w:color="auto" w:fill="auto"/>
            <w:noWrap/>
            <w:vAlign w:val="bottom"/>
            <w:hideMark/>
          </w:tcPr>
          <w:p w14:paraId="6357CF06" w14:textId="77777777" w:rsidR="00FF3E65" w:rsidRPr="00FF3E65" w:rsidRDefault="00FF3E65" w:rsidP="00FF3E65">
            <w:r w:rsidRPr="00FF3E65">
              <w:t> </w:t>
            </w:r>
          </w:p>
        </w:tc>
        <w:tc>
          <w:tcPr>
            <w:tcW w:w="2856" w:type="dxa"/>
            <w:shd w:val="clear" w:color="auto" w:fill="auto"/>
            <w:noWrap/>
            <w:vAlign w:val="center"/>
            <w:hideMark/>
          </w:tcPr>
          <w:p w14:paraId="3FDD86A4" w14:textId="2558AE5B" w:rsidR="00FF3E65" w:rsidRPr="00FF3E65" w:rsidRDefault="00FF3E65" w:rsidP="00FF3E65">
            <w:pPr>
              <w:jc w:val="center"/>
            </w:pPr>
            <w:r w:rsidRPr="00FF3E65">
              <w:t>Total</w:t>
            </w:r>
          </w:p>
        </w:tc>
        <w:tc>
          <w:tcPr>
            <w:tcW w:w="2771" w:type="dxa"/>
            <w:shd w:val="clear" w:color="auto" w:fill="auto"/>
            <w:vAlign w:val="center"/>
            <w:hideMark/>
          </w:tcPr>
          <w:p w14:paraId="308321B6" w14:textId="10BFAAA8" w:rsidR="00FF3E65" w:rsidRPr="00FF3E65" w:rsidRDefault="00FF3E65" w:rsidP="00FF3E65">
            <w:pPr>
              <w:jc w:val="center"/>
            </w:pPr>
            <w:r w:rsidRPr="00FF3E65">
              <w:t xml:space="preserve">Emergency Services </w:t>
            </w:r>
          </w:p>
        </w:tc>
        <w:tc>
          <w:tcPr>
            <w:tcW w:w="2771" w:type="dxa"/>
            <w:shd w:val="clear" w:color="auto" w:fill="auto"/>
            <w:vAlign w:val="center"/>
            <w:hideMark/>
          </w:tcPr>
          <w:p w14:paraId="31B11EAE" w14:textId="2402BC49" w:rsidR="00FF3E65" w:rsidRPr="00FF3E65" w:rsidRDefault="00FF3E65" w:rsidP="00FF3E65">
            <w:pPr>
              <w:jc w:val="center"/>
            </w:pPr>
            <w:r w:rsidRPr="00FF3E65">
              <w:t xml:space="preserve">Housing Stability </w:t>
            </w:r>
          </w:p>
        </w:tc>
      </w:tr>
      <w:tr w:rsidR="00FF3E65" w:rsidRPr="00FF3E65" w14:paraId="5A824384" w14:textId="77777777" w:rsidTr="00FF3E65">
        <w:trPr>
          <w:trHeight w:val="507"/>
        </w:trPr>
        <w:tc>
          <w:tcPr>
            <w:tcW w:w="2870" w:type="dxa"/>
            <w:shd w:val="clear" w:color="auto" w:fill="auto"/>
            <w:noWrap/>
            <w:vAlign w:val="center"/>
            <w:hideMark/>
          </w:tcPr>
          <w:p w14:paraId="1D6DA1FC" w14:textId="77777777" w:rsidR="00FF3E65" w:rsidRPr="00FF3E65" w:rsidRDefault="00FF3E65" w:rsidP="00FF3E65">
            <w:r w:rsidRPr="00FF3E65">
              <w:t xml:space="preserve">Application Amount </w:t>
            </w:r>
          </w:p>
        </w:tc>
        <w:tc>
          <w:tcPr>
            <w:tcW w:w="2856" w:type="dxa"/>
            <w:shd w:val="clear" w:color="auto" w:fill="auto"/>
            <w:noWrap/>
            <w:vAlign w:val="bottom"/>
          </w:tcPr>
          <w:p w14:paraId="56D14F3D" w14:textId="48A82A4F" w:rsidR="00FF3E65" w:rsidRPr="00FF3E65" w:rsidRDefault="00FF3E65" w:rsidP="00FF3E65"/>
        </w:tc>
        <w:tc>
          <w:tcPr>
            <w:tcW w:w="2771" w:type="dxa"/>
            <w:shd w:val="clear" w:color="auto" w:fill="auto"/>
            <w:noWrap/>
            <w:vAlign w:val="bottom"/>
          </w:tcPr>
          <w:p w14:paraId="36D9B978" w14:textId="083A890B" w:rsidR="00FF3E65" w:rsidRPr="00FF3E65" w:rsidRDefault="00FF3E65" w:rsidP="00FF3E65"/>
        </w:tc>
        <w:tc>
          <w:tcPr>
            <w:tcW w:w="2771" w:type="dxa"/>
            <w:shd w:val="clear" w:color="auto" w:fill="auto"/>
            <w:noWrap/>
            <w:vAlign w:val="bottom"/>
          </w:tcPr>
          <w:p w14:paraId="59ACF00F" w14:textId="1E88FC0F" w:rsidR="00FF3E65" w:rsidRPr="00FF3E65" w:rsidRDefault="00FF3E65" w:rsidP="00FF3E65"/>
        </w:tc>
      </w:tr>
      <w:tr w:rsidR="00FF3E65" w:rsidRPr="00FF3E65" w14:paraId="644C8494" w14:textId="77777777" w:rsidTr="00FF3E65">
        <w:trPr>
          <w:trHeight w:val="507"/>
        </w:trPr>
        <w:tc>
          <w:tcPr>
            <w:tcW w:w="2870" w:type="dxa"/>
            <w:shd w:val="clear" w:color="auto" w:fill="auto"/>
            <w:noWrap/>
            <w:vAlign w:val="center"/>
            <w:hideMark/>
          </w:tcPr>
          <w:p w14:paraId="52651783" w14:textId="77777777" w:rsidR="00FF3E65" w:rsidRPr="00FF3E65" w:rsidRDefault="00FF3E65" w:rsidP="00FF3E65">
            <w:r w:rsidRPr="00FF3E65">
              <w:t xml:space="preserve">Remaining </w:t>
            </w:r>
          </w:p>
        </w:tc>
        <w:tc>
          <w:tcPr>
            <w:tcW w:w="2856" w:type="dxa"/>
            <w:shd w:val="clear" w:color="auto" w:fill="auto"/>
            <w:noWrap/>
            <w:vAlign w:val="bottom"/>
          </w:tcPr>
          <w:p w14:paraId="46045A6F" w14:textId="6C18DC13" w:rsidR="00FF3E65" w:rsidRPr="00FF3E65" w:rsidRDefault="00FF3E65" w:rsidP="00FF3E65"/>
        </w:tc>
        <w:tc>
          <w:tcPr>
            <w:tcW w:w="2771" w:type="dxa"/>
            <w:shd w:val="clear" w:color="auto" w:fill="auto"/>
            <w:noWrap/>
            <w:vAlign w:val="center"/>
          </w:tcPr>
          <w:p w14:paraId="300E22B3" w14:textId="18FB310A" w:rsidR="00FF3E65" w:rsidRPr="00FF3E65" w:rsidRDefault="00FF3E65" w:rsidP="00FF3E65">
            <w:pPr>
              <w:jc w:val="center"/>
            </w:pPr>
            <w:r>
              <w:t>N/A</w:t>
            </w:r>
          </w:p>
        </w:tc>
        <w:tc>
          <w:tcPr>
            <w:tcW w:w="2771" w:type="dxa"/>
            <w:shd w:val="clear" w:color="auto" w:fill="auto"/>
            <w:noWrap/>
            <w:vAlign w:val="center"/>
          </w:tcPr>
          <w:p w14:paraId="295606B8" w14:textId="49752737" w:rsidR="00FF3E65" w:rsidRPr="00FF3E65" w:rsidRDefault="00FF3E65" w:rsidP="00FF3E65">
            <w:pPr>
              <w:jc w:val="center"/>
            </w:pPr>
            <w:r>
              <w:t>N/A</w:t>
            </w:r>
          </w:p>
        </w:tc>
      </w:tr>
    </w:tbl>
    <w:p w14:paraId="0D1C62D0" w14:textId="2A027FA5" w:rsidR="00FF3E65" w:rsidRDefault="00FF3E65"/>
    <w:p w14:paraId="3CE79F41" w14:textId="77777777" w:rsidR="00FF3E65" w:rsidRDefault="00FF3E65"/>
    <w:tbl>
      <w:tblPr>
        <w:tblW w:w="112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790"/>
        <w:gridCol w:w="2790"/>
      </w:tblGrid>
      <w:tr w:rsidR="00FF3E65" w14:paraId="0280D93B" w14:textId="77777777" w:rsidTr="00FF3E65">
        <w:trPr>
          <w:trHeight w:val="202"/>
        </w:trPr>
        <w:tc>
          <w:tcPr>
            <w:tcW w:w="5665" w:type="dxa"/>
            <w:shd w:val="clear" w:color="auto" w:fill="auto"/>
            <w:noWrap/>
            <w:vAlign w:val="bottom"/>
            <w:hideMark/>
          </w:tcPr>
          <w:p w14:paraId="5A6B4D88" w14:textId="31898DF7" w:rsidR="00FF3E65" w:rsidRPr="00FF3E65" w:rsidRDefault="00FF3E65" w:rsidP="00FF3E65">
            <w:r w:rsidRPr="00FF3E65">
              <w:t xml:space="preserve">Emergency </w:t>
            </w:r>
            <w:r w:rsidRPr="00FF3E65">
              <w:t>S</w:t>
            </w:r>
            <w:r w:rsidRPr="00FF3E65">
              <w:t>ervices Request</w:t>
            </w:r>
            <w:r>
              <w:t xml:space="preserve"> within </w:t>
            </w:r>
            <w:r w:rsidRPr="00FF3E65">
              <w:t>60% Maximum</w:t>
            </w:r>
          </w:p>
        </w:tc>
        <w:tc>
          <w:tcPr>
            <w:tcW w:w="2790" w:type="dxa"/>
            <w:shd w:val="clear" w:color="auto" w:fill="auto"/>
            <w:noWrap/>
            <w:vAlign w:val="bottom"/>
            <w:hideMark/>
          </w:tcPr>
          <w:p w14:paraId="45847717" w14:textId="77777777" w:rsidR="00FF3E65" w:rsidRPr="00FF3E65" w:rsidRDefault="00FF3E65" w:rsidP="00FF3E65">
            <w:r w:rsidRPr="00FF3E65">
              <w:fldChar w:fldCharType="begin">
                <w:ffData>
                  <w:name w:val="Check424"/>
                  <w:enabled/>
                  <w:calcOnExit w:val="0"/>
                  <w:checkBox>
                    <w:sizeAuto/>
                    <w:default w:val="0"/>
                  </w:checkBox>
                </w:ffData>
              </w:fldChar>
            </w:r>
            <w:r w:rsidRPr="00FF3E65">
              <w:instrText xml:space="preserve"> FORMCHECKBOX </w:instrText>
            </w:r>
            <w:r w:rsidRPr="00FF3E65">
              <w:fldChar w:fldCharType="separate"/>
            </w:r>
            <w:r w:rsidRPr="00FF3E65">
              <w:fldChar w:fldCharType="end"/>
            </w:r>
            <w:r w:rsidRPr="00FF3E65">
              <w:t xml:space="preserve"> YES</w:t>
            </w:r>
            <w:r w:rsidRPr="00FF3E65">
              <w:tab/>
            </w:r>
          </w:p>
        </w:tc>
        <w:tc>
          <w:tcPr>
            <w:tcW w:w="2790" w:type="dxa"/>
            <w:shd w:val="clear" w:color="auto" w:fill="auto"/>
            <w:noWrap/>
            <w:vAlign w:val="bottom"/>
            <w:hideMark/>
          </w:tcPr>
          <w:p w14:paraId="05D97597" w14:textId="77777777" w:rsidR="00FF3E65" w:rsidRPr="00FF3E65" w:rsidRDefault="00FF3E65" w:rsidP="00FF3E65">
            <w:r w:rsidRPr="00FF3E65">
              <w:fldChar w:fldCharType="begin">
                <w:ffData>
                  <w:name w:val="Check425"/>
                  <w:enabled/>
                  <w:calcOnExit w:val="0"/>
                  <w:checkBox>
                    <w:sizeAuto/>
                    <w:default w:val="0"/>
                  </w:checkBox>
                </w:ffData>
              </w:fldChar>
            </w:r>
            <w:r w:rsidRPr="00FF3E65">
              <w:instrText xml:space="preserve"> FORMCHECKBOX </w:instrText>
            </w:r>
            <w:r w:rsidRPr="00FF3E65">
              <w:fldChar w:fldCharType="separate"/>
            </w:r>
            <w:r w:rsidRPr="00FF3E65">
              <w:fldChar w:fldCharType="end"/>
            </w:r>
            <w:r w:rsidRPr="00FF3E65">
              <w:t xml:space="preserve"> NO</w:t>
            </w:r>
          </w:p>
        </w:tc>
      </w:tr>
      <w:tr w:rsidR="00FF3E65" w14:paraId="49E84EA9" w14:textId="77777777" w:rsidTr="00FF3E65">
        <w:trPr>
          <w:trHeight w:val="202"/>
        </w:trPr>
        <w:tc>
          <w:tcPr>
            <w:tcW w:w="5665" w:type="dxa"/>
            <w:shd w:val="clear" w:color="auto" w:fill="auto"/>
            <w:noWrap/>
            <w:vAlign w:val="bottom"/>
            <w:hideMark/>
          </w:tcPr>
          <w:p w14:paraId="24344FEE" w14:textId="2976B961" w:rsidR="00FF3E65" w:rsidRPr="00FF3E65" w:rsidRDefault="00FF3E65" w:rsidP="00FF3E65">
            <w:r w:rsidRPr="00FF3E65">
              <w:t>Housing Stability Request</w:t>
            </w:r>
            <w:r>
              <w:t xml:space="preserve"> within </w:t>
            </w:r>
            <w:r w:rsidRPr="00FF3E65">
              <w:t>40% Minimum</w:t>
            </w:r>
          </w:p>
        </w:tc>
        <w:tc>
          <w:tcPr>
            <w:tcW w:w="2790" w:type="dxa"/>
            <w:shd w:val="clear" w:color="auto" w:fill="auto"/>
            <w:noWrap/>
            <w:vAlign w:val="bottom"/>
            <w:hideMark/>
          </w:tcPr>
          <w:p w14:paraId="53487444" w14:textId="77777777" w:rsidR="00FF3E65" w:rsidRPr="00FF3E65" w:rsidRDefault="00FF3E65" w:rsidP="00FF3E65">
            <w:r w:rsidRPr="00FF3E65">
              <w:fldChar w:fldCharType="begin">
                <w:ffData>
                  <w:name w:val="Check424"/>
                  <w:enabled/>
                  <w:calcOnExit w:val="0"/>
                  <w:checkBox>
                    <w:sizeAuto/>
                    <w:default w:val="0"/>
                  </w:checkBox>
                </w:ffData>
              </w:fldChar>
            </w:r>
            <w:r w:rsidRPr="00FF3E65">
              <w:instrText xml:space="preserve"> FORMCHECKBOX </w:instrText>
            </w:r>
            <w:r w:rsidRPr="00FF3E65">
              <w:fldChar w:fldCharType="separate"/>
            </w:r>
            <w:r w:rsidRPr="00FF3E65">
              <w:fldChar w:fldCharType="end"/>
            </w:r>
            <w:r w:rsidRPr="00FF3E65">
              <w:t xml:space="preserve"> YES</w:t>
            </w:r>
            <w:r w:rsidRPr="00FF3E65">
              <w:tab/>
            </w:r>
          </w:p>
        </w:tc>
        <w:tc>
          <w:tcPr>
            <w:tcW w:w="2790" w:type="dxa"/>
            <w:shd w:val="clear" w:color="auto" w:fill="auto"/>
            <w:noWrap/>
            <w:vAlign w:val="bottom"/>
            <w:hideMark/>
          </w:tcPr>
          <w:p w14:paraId="1DA123D4" w14:textId="77777777" w:rsidR="00FF3E65" w:rsidRPr="00FF3E65" w:rsidRDefault="00FF3E65" w:rsidP="00FF3E65">
            <w:r w:rsidRPr="00FF3E65">
              <w:fldChar w:fldCharType="begin">
                <w:ffData>
                  <w:name w:val="Check425"/>
                  <w:enabled/>
                  <w:calcOnExit w:val="0"/>
                  <w:checkBox>
                    <w:sizeAuto/>
                    <w:default w:val="0"/>
                  </w:checkBox>
                </w:ffData>
              </w:fldChar>
            </w:r>
            <w:r w:rsidRPr="00FF3E65">
              <w:instrText xml:space="preserve"> FORMCHECKBOX </w:instrText>
            </w:r>
            <w:r w:rsidRPr="00FF3E65">
              <w:fldChar w:fldCharType="separate"/>
            </w:r>
            <w:r w:rsidRPr="00FF3E65">
              <w:fldChar w:fldCharType="end"/>
            </w:r>
            <w:r w:rsidRPr="00FF3E65">
              <w:t xml:space="preserve"> NO</w:t>
            </w:r>
          </w:p>
        </w:tc>
      </w:tr>
    </w:tbl>
    <w:p w14:paraId="79B6EA03" w14:textId="77777777" w:rsidR="00663A10" w:rsidRDefault="00663A10">
      <w:pPr>
        <w:rPr>
          <w:rFonts w:ascii="Cambria" w:hAnsi="Cambria"/>
          <w:b/>
          <w:bCs/>
          <w:color w:val="2F5496" w:themeColor="accent5" w:themeShade="BF"/>
          <w:kern w:val="32"/>
          <w:sz w:val="32"/>
          <w:szCs w:val="32"/>
        </w:rPr>
      </w:pPr>
      <w:r>
        <w:br w:type="page"/>
      </w:r>
    </w:p>
    <w:p w14:paraId="47F5254F" w14:textId="38719D93" w:rsidR="00746200" w:rsidRPr="00560D2E" w:rsidRDefault="00CB4CBE" w:rsidP="00C065DE">
      <w:pPr>
        <w:pStyle w:val="Heading1"/>
        <w:rPr>
          <w:rStyle w:val="Emphasis"/>
          <w:rFonts w:cstheme="minorHAnsi"/>
          <w:i w:val="0"/>
          <w:sz w:val="22"/>
          <w:szCs w:val="22"/>
        </w:rPr>
      </w:pPr>
      <w:r>
        <w:lastRenderedPageBreak/>
        <w:t>Application</w:t>
      </w:r>
      <w:r w:rsidR="00A41E1E">
        <w:t xml:space="preserve"> &amp; Selection</w:t>
      </w:r>
      <w:r>
        <w:t xml:space="preserve"> Process</w:t>
      </w:r>
    </w:p>
    <w:p w14:paraId="4225D483" w14:textId="6302F559" w:rsidR="00452BD2" w:rsidRDefault="00452BD2" w:rsidP="009B2F63">
      <w:pPr>
        <w:pStyle w:val="Heading2"/>
      </w:pPr>
      <w:r>
        <w:t>Selection Committee</w:t>
      </w:r>
    </w:p>
    <w:p w14:paraId="696FEB1D" w14:textId="3418996C" w:rsidR="004D05E1" w:rsidRPr="004D05E1" w:rsidRDefault="004D05E1" w:rsidP="004D05E1">
      <w:pPr>
        <w:rPr>
          <w:b/>
        </w:rPr>
      </w:pP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740"/>
        <w:gridCol w:w="2340"/>
      </w:tblGrid>
      <w:tr w:rsidR="00746200" w14:paraId="361D41BA" w14:textId="77777777" w:rsidTr="00746200">
        <w:trPr>
          <w:trHeight w:val="638"/>
        </w:trPr>
        <w:tc>
          <w:tcPr>
            <w:tcW w:w="7740" w:type="dxa"/>
            <w:vAlign w:val="center"/>
          </w:tcPr>
          <w:p w14:paraId="43D74562" w14:textId="602956D1" w:rsidR="00746200" w:rsidRDefault="004D05E1" w:rsidP="00746200">
            <w:pPr>
              <w:rPr>
                <w:rStyle w:val="Emphasis"/>
                <w:i w:val="0"/>
              </w:rPr>
            </w:pPr>
            <w:r>
              <w:rPr>
                <w:rStyle w:val="Emphasis"/>
                <w:rFonts w:cs="Arial"/>
                <w:i w:val="0"/>
                <w:iCs w:val="0"/>
                <w:sz w:val="22"/>
              </w:rPr>
              <w:t>Did the LPA provide a list of selection committee members and their affiliation?</w:t>
            </w:r>
          </w:p>
        </w:tc>
        <w:tc>
          <w:tcPr>
            <w:tcW w:w="2340" w:type="dxa"/>
            <w:vAlign w:val="center"/>
          </w:tcPr>
          <w:p w14:paraId="348D91C0" w14:textId="19F009D1" w:rsidR="00746200" w:rsidRDefault="00746200" w:rsidP="00746200">
            <w:pPr>
              <w:jc w:val="center"/>
              <w:rPr>
                <w:rStyle w:val="Emphasis"/>
                <w:i w:val="0"/>
              </w:rPr>
            </w:pPr>
            <w:r w:rsidRPr="009B2F63">
              <w:rPr>
                <w:rFonts w:cs="Arial"/>
                <w:b/>
                <w:szCs w:val="28"/>
              </w:rPr>
              <w:fldChar w:fldCharType="begin">
                <w:ffData>
                  <w:name w:val="Check424"/>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YES</w:t>
            </w:r>
            <w:r w:rsidRPr="009B2F63">
              <w:rPr>
                <w:rFonts w:cs="Arial"/>
                <w:b/>
                <w:szCs w:val="28"/>
              </w:rPr>
              <w:tab/>
            </w:r>
            <w:r>
              <w:rPr>
                <w:rFonts w:cs="Arial"/>
                <w:b/>
                <w:szCs w:val="28"/>
              </w:rPr>
              <w:tab/>
            </w:r>
            <w:r w:rsidRPr="009B2F63">
              <w:rPr>
                <w:rFonts w:cs="Arial"/>
                <w:b/>
                <w:szCs w:val="28"/>
              </w:rPr>
              <w:fldChar w:fldCharType="begin">
                <w:ffData>
                  <w:name w:val="Check425"/>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NO</w:t>
            </w:r>
          </w:p>
        </w:tc>
      </w:tr>
      <w:tr w:rsidR="004D05E1" w14:paraId="20909B8A" w14:textId="77777777" w:rsidTr="00972617">
        <w:trPr>
          <w:trHeight w:val="638"/>
        </w:trPr>
        <w:tc>
          <w:tcPr>
            <w:tcW w:w="10080" w:type="dxa"/>
            <w:gridSpan w:val="2"/>
            <w:vAlign w:val="center"/>
          </w:tcPr>
          <w:p w14:paraId="73F5321E" w14:textId="00FB55A5" w:rsidR="004D05E1" w:rsidRPr="00435EEC" w:rsidRDefault="004D05E1" w:rsidP="00746200">
            <w:pPr>
              <w:jc w:val="center"/>
              <w:rPr>
                <w:rFonts w:cs="Arial"/>
                <w:b/>
                <w:szCs w:val="28"/>
                <w:u w:val="single"/>
              </w:rPr>
            </w:pPr>
            <w:r w:rsidRPr="00435EEC">
              <w:rPr>
                <w:b/>
                <w:u w:val="single"/>
              </w:rPr>
              <w:t>*If yes to any of the questions below, the application requires immediate review by the ESG Office.</w:t>
            </w:r>
          </w:p>
        </w:tc>
      </w:tr>
      <w:tr w:rsidR="004D05E1" w14:paraId="10103CEF" w14:textId="77777777" w:rsidTr="00746200">
        <w:trPr>
          <w:trHeight w:val="638"/>
        </w:trPr>
        <w:tc>
          <w:tcPr>
            <w:tcW w:w="7740" w:type="dxa"/>
            <w:vAlign w:val="center"/>
          </w:tcPr>
          <w:p w14:paraId="08EE5153" w14:textId="74801216" w:rsidR="004D05E1" w:rsidRPr="004D05E1" w:rsidRDefault="004D05E1" w:rsidP="00746200">
            <w:pPr>
              <w:rPr>
                <w:rStyle w:val="Emphasis"/>
                <w:rFonts w:cs="Arial"/>
                <w:i w:val="0"/>
                <w:iCs w:val="0"/>
                <w:sz w:val="22"/>
              </w:rPr>
            </w:pPr>
            <w:r w:rsidRPr="009B2F63">
              <w:rPr>
                <w:rStyle w:val="Emphasis"/>
                <w:rFonts w:cs="Arial"/>
                <w:i w:val="0"/>
                <w:iCs w:val="0"/>
                <w:sz w:val="22"/>
              </w:rPr>
              <w:t xml:space="preserve">Are there any agencies on the </w:t>
            </w:r>
            <w:r>
              <w:rPr>
                <w:rStyle w:val="Emphasis"/>
                <w:rFonts w:cs="Arial"/>
                <w:i w:val="0"/>
                <w:iCs w:val="0"/>
                <w:sz w:val="22"/>
              </w:rPr>
              <w:t>selection</w:t>
            </w:r>
            <w:r w:rsidRPr="009B2F63">
              <w:rPr>
                <w:rStyle w:val="Emphasis"/>
                <w:rFonts w:cs="Arial"/>
                <w:i w:val="0"/>
                <w:iCs w:val="0"/>
                <w:sz w:val="22"/>
              </w:rPr>
              <w:t xml:space="preserve"> committee that are applying for money?</w:t>
            </w:r>
          </w:p>
        </w:tc>
        <w:tc>
          <w:tcPr>
            <w:tcW w:w="2340" w:type="dxa"/>
            <w:vAlign w:val="center"/>
          </w:tcPr>
          <w:p w14:paraId="39B2811E" w14:textId="541D5E62" w:rsidR="004D05E1" w:rsidRPr="009B2F63" w:rsidRDefault="004D05E1" w:rsidP="00746200">
            <w:pPr>
              <w:jc w:val="center"/>
              <w:rPr>
                <w:rFonts w:cs="Arial"/>
                <w:b/>
                <w:szCs w:val="28"/>
              </w:rPr>
            </w:pPr>
            <w:r w:rsidRPr="009B2F63">
              <w:rPr>
                <w:rFonts w:cs="Arial"/>
                <w:b/>
                <w:szCs w:val="28"/>
              </w:rPr>
              <w:fldChar w:fldCharType="begin">
                <w:ffData>
                  <w:name w:val="Check424"/>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YES</w:t>
            </w:r>
            <w:r w:rsidRPr="009B2F63">
              <w:rPr>
                <w:rFonts w:cs="Arial"/>
                <w:b/>
                <w:szCs w:val="28"/>
              </w:rPr>
              <w:tab/>
            </w:r>
            <w:r>
              <w:rPr>
                <w:rFonts w:cs="Arial"/>
                <w:b/>
                <w:szCs w:val="28"/>
              </w:rPr>
              <w:tab/>
            </w:r>
            <w:r w:rsidRPr="009B2F63">
              <w:rPr>
                <w:rFonts w:cs="Arial"/>
                <w:b/>
                <w:szCs w:val="28"/>
              </w:rPr>
              <w:fldChar w:fldCharType="begin">
                <w:ffData>
                  <w:name w:val="Check425"/>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NO</w:t>
            </w:r>
          </w:p>
        </w:tc>
      </w:tr>
      <w:tr w:rsidR="00746200" w14:paraId="1ED14527" w14:textId="77777777" w:rsidTr="00746200">
        <w:trPr>
          <w:trHeight w:val="647"/>
        </w:trPr>
        <w:tc>
          <w:tcPr>
            <w:tcW w:w="7740" w:type="dxa"/>
            <w:vAlign w:val="center"/>
          </w:tcPr>
          <w:p w14:paraId="1B6F4148" w14:textId="4621F7E3" w:rsidR="00746200" w:rsidRDefault="004D05E1" w:rsidP="00746200">
            <w:pPr>
              <w:rPr>
                <w:rStyle w:val="Emphasis"/>
                <w:i w:val="0"/>
              </w:rPr>
            </w:pPr>
            <w:r>
              <w:rPr>
                <w:rStyle w:val="Emphasis"/>
                <w:rFonts w:cs="Arial"/>
                <w:i w:val="0"/>
                <w:iCs w:val="0"/>
                <w:sz w:val="22"/>
              </w:rPr>
              <w:t>Are there any agencies on the selection committee related to an applicant staff or board member?</w:t>
            </w:r>
          </w:p>
        </w:tc>
        <w:tc>
          <w:tcPr>
            <w:tcW w:w="2340" w:type="dxa"/>
            <w:vAlign w:val="center"/>
          </w:tcPr>
          <w:p w14:paraId="1628304A" w14:textId="28B563BB" w:rsidR="00746200" w:rsidRDefault="00746200" w:rsidP="00746200">
            <w:pPr>
              <w:jc w:val="center"/>
              <w:rPr>
                <w:rStyle w:val="Emphasis"/>
                <w:i w:val="0"/>
              </w:rPr>
            </w:pPr>
            <w:r w:rsidRPr="009B2F63">
              <w:rPr>
                <w:rFonts w:cs="Arial"/>
                <w:b/>
                <w:szCs w:val="28"/>
              </w:rPr>
              <w:fldChar w:fldCharType="begin">
                <w:ffData>
                  <w:name w:val="Check424"/>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YES</w:t>
            </w:r>
            <w:r w:rsidRPr="009B2F63">
              <w:rPr>
                <w:rFonts w:cs="Arial"/>
                <w:b/>
                <w:szCs w:val="28"/>
              </w:rPr>
              <w:tab/>
            </w:r>
            <w:r>
              <w:rPr>
                <w:rFonts w:cs="Arial"/>
                <w:b/>
                <w:szCs w:val="28"/>
              </w:rPr>
              <w:tab/>
            </w:r>
            <w:r w:rsidRPr="009B2F63">
              <w:rPr>
                <w:rFonts w:cs="Arial"/>
                <w:b/>
                <w:szCs w:val="28"/>
              </w:rPr>
              <w:fldChar w:fldCharType="begin">
                <w:ffData>
                  <w:name w:val="Check425"/>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NO</w:t>
            </w:r>
          </w:p>
        </w:tc>
      </w:tr>
      <w:tr w:rsidR="004D05E1" w14:paraId="05C13F17" w14:textId="77777777" w:rsidTr="00746200">
        <w:trPr>
          <w:trHeight w:val="647"/>
        </w:trPr>
        <w:tc>
          <w:tcPr>
            <w:tcW w:w="7740" w:type="dxa"/>
            <w:vAlign w:val="center"/>
          </w:tcPr>
          <w:p w14:paraId="69817984" w14:textId="3B765830" w:rsidR="004D05E1" w:rsidRDefault="004D05E1" w:rsidP="00746200">
            <w:pPr>
              <w:rPr>
                <w:rStyle w:val="Emphasis"/>
                <w:rFonts w:cs="Arial"/>
                <w:i w:val="0"/>
                <w:iCs w:val="0"/>
                <w:sz w:val="22"/>
              </w:rPr>
            </w:pPr>
            <w:r>
              <w:rPr>
                <w:rStyle w:val="Emphasis"/>
                <w:rFonts w:cs="Arial"/>
                <w:i w:val="0"/>
                <w:iCs w:val="0"/>
                <w:sz w:val="22"/>
              </w:rPr>
              <w:t>Do any of these members have any other shared financial interest with an applicant?</w:t>
            </w:r>
          </w:p>
        </w:tc>
        <w:tc>
          <w:tcPr>
            <w:tcW w:w="2340" w:type="dxa"/>
            <w:vAlign w:val="center"/>
          </w:tcPr>
          <w:p w14:paraId="271FB075" w14:textId="599C252A" w:rsidR="004D05E1" w:rsidRPr="009B2F63" w:rsidRDefault="004D05E1" w:rsidP="00746200">
            <w:pPr>
              <w:jc w:val="center"/>
              <w:rPr>
                <w:rFonts w:cs="Arial"/>
                <w:b/>
                <w:szCs w:val="28"/>
              </w:rPr>
            </w:pPr>
            <w:r w:rsidRPr="009B2F63">
              <w:rPr>
                <w:rFonts w:cs="Arial"/>
                <w:b/>
                <w:szCs w:val="28"/>
              </w:rPr>
              <w:fldChar w:fldCharType="begin">
                <w:ffData>
                  <w:name w:val="Check424"/>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YES</w:t>
            </w:r>
            <w:r w:rsidRPr="009B2F63">
              <w:rPr>
                <w:rFonts w:cs="Arial"/>
                <w:b/>
                <w:szCs w:val="28"/>
              </w:rPr>
              <w:tab/>
            </w:r>
            <w:r>
              <w:rPr>
                <w:rFonts w:cs="Arial"/>
                <w:b/>
                <w:szCs w:val="28"/>
              </w:rPr>
              <w:tab/>
            </w:r>
            <w:r w:rsidRPr="009B2F63">
              <w:rPr>
                <w:rFonts w:cs="Arial"/>
                <w:b/>
                <w:szCs w:val="28"/>
              </w:rPr>
              <w:fldChar w:fldCharType="begin">
                <w:ffData>
                  <w:name w:val="Check425"/>
                  <w:enabled/>
                  <w:calcOnExit w:val="0"/>
                  <w:checkBox>
                    <w:sizeAuto/>
                    <w:default w:val="0"/>
                  </w:checkBox>
                </w:ffData>
              </w:fldChar>
            </w:r>
            <w:r w:rsidRPr="009B2F63">
              <w:rPr>
                <w:rFonts w:cs="Arial"/>
                <w:b/>
                <w:szCs w:val="28"/>
              </w:rPr>
              <w:instrText xml:space="preserve"> FORMCHECKBOX </w:instrText>
            </w:r>
            <w:r w:rsidR="004C1E35">
              <w:rPr>
                <w:rFonts w:cs="Arial"/>
                <w:b/>
                <w:szCs w:val="28"/>
              </w:rPr>
            </w:r>
            <w:r w:rsidR="004C1E35">
              <w:rPr>
                <w:rFonts w:cs="Arial"/>
                <w:b/>
                <w:szCs w:val="28"/>
              </w:rPr>
              <w:fldChar w:fldCharType="separate"/>
            </w:r>
            <w:r w:rsidRPr="009B2F63">
              <w:rPr>
                <w:rFonts w:cs="Arial"/>
                <w:b/>
                <w:szCs w:val="28"/>
              </w:rPr>
              <w:fldChar w:fldCharType="end"/>
            </w:r>
            <w:r w:rsidRPr="009B2F63">
              <w:rPr>
                <w:rFonts w:cs="Arial"/>
                <w:b/>
                <w:szCs w:val="28"/>
              </w:rPr>
              <w:t xml:space="preserve"> NO</w:t>
            </w:r>
          </w:p>
        </w:tc>
      </w:tr>
      <w:tr w:rsidR="00C065DE" w14:paraId="2534B64E" w14:textId="77777777" w:rsidTr="00746200">
        <w:trPr>
          <w:trHeight w:val="647"/>
        </w:trPr>
        <w:tc>
          <w:tcPr>
            <w:tcW w:w="7740" w:type="dxa"/>
            <w:vAlign w:val="center"/>
          </w:tcPr>
          <w:p w14:paraId="19557ED8" w14:textId="77777777" w:rsidR="00C065DE" w:rsidRDefault="00C065DE" w:rsidP="00746200">
            <w:pPr>
              <w:rPr>
                <w:rStyle w:val="Emphasis"/>
                <w:rFonts w:cs="Arial"/>
                <w:sz w:val="22"/>
              </w:rPr>
            </w:pPr>
            <w:r>
              <w:rPr>
                <w:rStyle w:val="Emphasis"/>
                <w:rFonts w:cs="Arial"/>
                <w:i w:val="0"/>
                <w:iCs w:val="0"/>
                <w:sz w:val="22"/>
              </w:rPr>
              <w:t>D</w:t>
            </w:r>
            <w:r>
              <w:rPr>
                <w:rStyle w:val="Emphasis"/>
                <w:rFonts w:cs="Arial"/>
                <w:sz w:val="22"/>
              </w:rPr>
              <w:t>oes the LPA have an established Selection Committee Code of Conduct?</w:t>
            </w:r>
          </w:p>
          <w:p w14:paraId="05CB6BB0" w14:textId="6F2EFE84" w:rsidR="00C065DE" w:rsidRDefault="00C065DE" w:rsidP="00746200">
            <w:pPr>
              <w:rPr>
                <w:rStyle w:val="Emphasis"/>
                <w:rFonts w:cs="Arial"/>
                <w:i w:val="0"/>
                <w:iCs w:val="0"/>
                <w:sz w:val="22"/>
              </w:rPr>
            </w:pPr>
            <w:r>
              <w:rPr>
                <w:rStyle w:val="Emphasis"/>
                <w:rFonts w:cs="Arial"/>
                <w:i w:val="0"/>
                <w:iCs w:val="0"/>
                <w:sz w:val="22"/>
              </w:rPr>
              <w:t>*If yes, special consideration “must attach and send to ESG Office”</w:t>
            </w:r>
          </w:p>
          <w:p w14:paraId="53B54338" w14:textId="124E5716" w:rsidR="00C065DE" w:rsidRDefault="00C065DE" w:rsidP="00746200">
            <w:pPr>
              <w:rPr>
                <w:rStyle w:val="Emphasis"/>
                <w:rFonts w:cs="Arial"/>
                <w:i w:val="0"/>
                <w:iCs w:val="0"/>
                <w:sz w:val="22"/>
              </w:rPr>
            </w:pPr>
            <w:r>
              <w:rPr>
                <w:rStyle w:val="Emphasis"/>
                <w:rFonts w:cs="Arial"/>
                <w:i w:val="0"/>
                <w:iCs w:val="0"/>
                <w:sz w:val="22"/>
              </w:rPr>
              <w:t xml:space="preserve">*If no, </w:t>
            </w:r>
            <w:r w:rsidR="00A37177">
              <w:rPr>
                <w:rStyle w:val="Emphasis"/>
                <w:rFonts w:cs="Arial"/>
                <w:i w:val="0"/>
                <w:iCs w:val="0"/>
                <w:sz w:val="22"/>
              </w:rPr>
              <w:t>s</w:t>
            </w:r>
            <w:r w:rsidR="00A37177">
              <w:rPr>
                <w:rStyle w:val="Emphasis"/>
                <w:rFonts w:cs="Arial"/>
                <w:sz w:val="22"/>
              </w:rPr>
              <w:t>pecial consideration “</w:t>
            </w:r>
            <w:r>
              <w:rPr>
                <w:rStyle w:val="Emphasis"/>
                <w:rFonts w:cs="Arial"/>
                <w:i w:val="0"/>
                <w:iCs w:val="0"/>
                <w:sz w:val="22"/>
              </w:rPr>
              <w:t xml:space="preserve">must create one and </w:t>
            </w:r>
            <w:r w:rsidR="008A44FF">
              <w:rPr>
                <w:rStyle w:val="Emphasis"/>
                <w:rFonts w:cs="Arial"/>
                <w:i w:val="0"/>
                <w:iCs w:val="0"/>
                <w:sz w:val="22"/>
              </w:rPr>
              <w:t>s</w:t>
            </w:r>
            <w:r w:rsidR="008A44FF">
              <w:rPr>
                <w:rStyle w:val="Emphasis"/>
                <w:rFonts w:cs="Arial"/>
                <w:sz w:val="22"/>
              </w:rPr>
              <w:t>end</w:t>
            </w:r>
            <w:r>
              <w:rPr>
                <w:rStyle w:val="Emphasis"/>
                <w:rFonts w:cs="Arial"/>
                <w:i w:val="0"/>
                <w:iCs w:val="0"/>
                <w:sz w:val="22"/>
              </w:rPr>
              <w:t xml:space="preserve"> to HUD</w:t>
            </w:r>
            <w:r w:rsidR="008A44FF">
              <w:rPr>
                <w:rStyle w:val="Emphasis"/>
                <w:rFonts w:cs="Arial"/>
                <w:i w:val="0"/>
                <w:iCs w:val="0"/>
                <w:sz w:val="22"/>
              </w:rPr>
              <w:t xml:space="preserve"> and CC ESG Office</w:t>
            </w:r>
            <w:r w:rsidR="00A37177">
              <w:rPr>
                <w:rStyle w:val="Emphasis"/>
                <w:rFonts w:cs="Arial"/>
                <w:i w:val="0"/>
                <w:iCs w:val="0"/>
                <w:sz w:val="22"/>
              </w:rPr>
              <w:t>”</w:t>
            </w:r>
          </w:p>
        </w:tc>
        <w:tc>
          <w:tcPr>
            <w:tcW w:w="2340" w:type="dxa"/>
            <w:vAlign w:val="center"/>
          </w:tcPr>
          <w:p w14:paraId="6BE0AC09" w14:textId="37C245CC" w:rsidR="00C065DE" w:rsidRPr="009B2F63" w:rsidRDefault="00C065DE" w:rsidP="00746200">
            <w:pPr>
              <w:jc w:val="center"/>
              <w:rPr>
                <w:rFonts w:cs="Arial"/>
                <w:b/>
                <w:szCs w:val="28"/>
              </w:rPr>
            </w:pPr>
            <w:r w:rsidRPr="009B2F63">
              <w:rPr>
                <w:rFonts w:cs="Arial"/>
                <w:b/>
                <w:szCs w:val="28"/>
              </w:rPr>
              <w:fldChar w:fldCharType="begin">
                <w:ffData>
                  <w:name w:val="Check424"/>
                  <w:enabled/>
                  <w:calcOnExit w:val="0"/>
                  <w:checkBox>
                    <w:sizeAuto/>
                    <w:default w:val="0"/>
                  </w:checkBox>
                </w:ffData>
              </w:fldChar>
            </w:r>
            <w:r w:rsidRPr="009B2F63">
              <w:rPr>
                <w:rFonts w:cs="Arial"/>
                <w:b/>
                <w:szCs w:val="28"/>
              </w:rPr>
              <w:instrText xml:space="preserve"> FORMCHECKBOX </w:instrText>
            </w:r>
            <w:r>
              <w:rPr>
                <w:rFonts w:cs="Arial"/>
                <w:b/>
                <w:szCs w:val="28"/>
              </w:rPr>
            </w:r>
            <w:r>
              <w:rPr>
                <w:rFonts w:cs="Arial"/>
                <w:b/>
                <w:szCs w:val="28"/>
              </w:rPr>
              <w:fldChar w:fldCharType="separate"/>
            </w:r>
            <w:r w:rsidRPr="009B2F63">
              <w:rPr>
                <w:rFonts w:cs="Arial"/>
                <w:b/>
                <w:szCs w:val="28"/>
              </w:rPr>
              <w:fldChar w:fldCharType="end"/>
            </w:r>
            <w:r w:rsidRPr="009B2F63">
              <w:rPr>
                <w:rFonts w:cs="Arial"/>
                <w:b/>
                <w:szCs w:val="28"/>
              </w:rPr>
              <w:t xml:space="preserve"> YES</w:t>
            </w:r>
            <w:r w:rsidRPr="009B2F63">
              <w:rPr>
                <w:rFonts w:cs="Arial"/>
                <w:b/>
                <w:szCs w:val="28"/>
              </w:rPr>
              <w:tab/>
            </w:r>
            <w:r>
              <w:rPr>
                <w:rFonts w:cs="Arial"/>
                <w:b/>
                <w:szCs w:val="28"/>
              </w:rPr>
              <w:tab/>
            </w:r>
            <w:r w:rsidRPr="009B2F63">
              <w:rPr>
                <w:rFonts w:cs="Arial"/>
                <w:b/>
                <w:szCs w:val="28"/>
              </w:rPr>
              <w:fldChar w:fldCharType="begin">
                <w:ffData>
                  <w:name w:val="Check425"/>
                  <w:enabled/>
                  <w:calcOnExit w:val="0"/>
                  <w:checkBox>
                    <w:sizeAuto/>
                    <w:default w:val="0"/>
                  </w:checkBox>
                </w:ffData>
              </w:fldChar>
            </w:r>
            <w:r w:rsidRPr="009B2F63">
              <w:rPr>
                <w:rFonts w:cs="Arial"/>
                <w:b/>
                <w:szCs w:val="28"/>
              </w:rPr>
              <w:instrText xml:space="preserve"> FORMCHECKBOX </w:instrText>
            </w:r>
            <w:r>
              <w:rPr>
                <w:rFonts w:cs="Arial"/>
                <w:b/>
                <w:szCs w:val="28"/>
              </w:rPr>
            </w:r>
            <w:r>
              <w:rPr>
                <w:rFonts w:cs="Arial"/>
                <w:b/>
                <w:szCs w:val="28"/>
              </w:rPr>
              <w:fldChar w:fldCharType="separate"/>
            </w:r>
            <w:r w:rsidRPr="009B2F63">
              <w:rPr>
                <w:rFonts w:cs="Arial"/>
                <w:b/>
                <w:szCs w:val="28"/>
              </w:rPr>
              <w:fldChar w:fldCharType="end"/>
            </w:r>
            <w:r w:rsidRPr="009B2F63">
              <w:rPr>
                <w:rFonts w:cs="Arial"/>
                <w:b/>
                <w:szCs w:val="28"/>
              </w:rPr>
              <w:t xml:space="preserve"> NO</w:t>
            </w:r>
          </w:p>
        </w:tc>
      </w:tr>
    </w:tbl>
    <w:p w14:paraId="697C54D0" w14:textId="20D0FFF5" w:rsidR="00452BD2" w:rsidRDefault="00452BD2" w:rsidP="00663A10">
      <w:pPr>
        <w:rPr>
          <w:rFonts w:ascii="Calibri" w:hAnsi="Calibri" w:cs="Arial"/>
          <w:b/>
          <w:i/>
        </w:rPr>
      </w:pPr>
    </w:p>
    <w:p w14:paraId="65961AEB" w14:textId="77777777" w:rsidR="00663A10" w:rsidRDefault="00663A10" w:rsidP="00663A10">
      <w:pPr>
        <w:pStyle w:val="Heading1"/>
        <w:spacing w:before="44"/>
        <w:ind w:left="270" w:right="440"/>
        <w:jc w:val="center"/>
        <w:rPr>
          <w:rFonts w:ascii="Arial" w:hAnsi="Arial" w:cs="Arial"/>
          <w:sz w:val="22"/>
          <w:szCs w:val="22"/>
        </w:rPr>
      </w:pPr>
      <w:r>
        <w:rPr>
          <w:rFonts w:ascii="Arial" w:hAnsi="Arial" w:cs="Arial"/>
          <w:sz w:val="22"/>
          <w:szCs w:val="22"/>
        </w:rPr>
        <w:t>APPENDIX A: WRITTEN STANDARDS COVER PAGE</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5"/>
        <w:gridCol w:w="1715"/>
      </w:tblGrid>
      <w:tr w:rsidR="00663A10" w14:paraId="65A5F27E" w14:textId="77777777" w:rsidTr="007975F6">
        <w:trPr>
          <w:trHeight w:val="967"/>
          <w:jc w:val="center"/>
        </w:trPr>
        <w:tc>
          <w:tcPr>
            <w:tcW w:w="85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31EEC0" w14:textId="77777777" w:rsidR="00663A10" w:rsidRDefault="00663A10">
            <w:pPr>
              <w:pStyle w:val="TableParagraph"/>
              <w:spacing w:before="131"/>
              <w:ind w:left="270" w:right="440"/>
              <w:jc w:val="center"/>
              <w:rPr>
                <w:rFonts w:ascii="Arial" w:hAnsi="Arial" w:cs="Arial"/>
                <w:b/>
              </w:rPr>
            </w:pPr>
            <w:r>
              <w:rPr>
                <w:rFonts w:ascii="Arial" w:hAnsi="Arial" w:cs="Arial"/>
                <w:b/>
              </w:rPr>
              <w:t>ALL PROGRAM REQUIREMENTS</w:t>
            </w:r>
          </w:p>
        </w:tc>
        <w:tc>
          <w:tcPr>
            <w:tcW w:w="171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A128C5" w14:textId="2004C4D4" w:rsidR="00663A10" w:rsidRDefault="00663A10">
            <w:pPr>
              <w:pStyle w:val="TableParagraph"/>
              <w:spacing w:line="252" w:lineRule="exact"/>
              <w:ind w:left="270" w:right="440"/>
              <w:jc w:val="center"/>
              <w:rPr>
                <w:rFonts w:ascii="Arial" w:hAnsi="Arial" w:cs="Arial"/>
                <w:b/>
              </w:rPr>
            </w:pPr>
            <w:r>
              <w:rPr>
                <w:rFonts w:ascii="Arial" w:hAnsi="Arial" w:cs="Arial"/>
                <w:b/>
              </w:rPr>
              <w:t>Yes / No</w:t>
            </w:r>
          </w:p>
        </w:tc>
      </w:tr>
      <w:tr w:rsidR="00663A10" w14:paraId="6050C888" w14:textId="77777777" w:rsidTr="007975F6">
        <w:trPr>
          <w:trHeight w:val="868"/>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2A54BF64" w14:textId="77777777" w:rsidR="00663A10" w:rsidRDefault="00663A10">
            <w:pPr>
              <w:pStyle w:val="TableParagraph"/>
              <w:spacing w:before="83"/>
              <w:ind w:left="540" w:right="440"/>
              <w:rPr>
                <w:rFonts w:ascii="Arial" w:hAnsi="Arial" w:cs="Arial"/>
              </w:rPr>
            </w:pPr>
            <w:r>
              <w:rPr>
                <w:rFonts w:ascii="Arial" w:hAnsi="Arial" w:cs="Arial"/>
              </w:rPr>
              <w:t>Standards include the area of service where assistance shall be offered.</w:t>
            </w:r>
          </w:p>
        </w:tc>
        <w:tc>
          <w:tcPr>
            <w:tcW w:w="1715" w:type="dxa"/>
            <w:tcBorders>
              <w:top w:val="single" w:sz="4" w:space="0" w:color="000000"/>
              <w:left w:val="single" w:sz="4" w:space="0" w:color="000000"/>
              <w:bottom w:val="single" w:sz="4" w:space="0" w:color="000000"/>
              <w:right w:val="single" w:sz="4" w:space="0" w:color="000000"/>
            </w:tcBorders>
            <w:vAlign w:val="center"/>
          </w:tcPr>
          <w:p w14:paraId="103F1D39" w14:textId="77777777" w:rsidR="00663A10" w:rsidRDefault="00663A10">
            <w:pPr>
              <w:pStyle w:val="TableParagraph"/>
              <w:spacing w:line="239" w:lineRule="exact"/>
              <w:ind w:left="270" w:right="440"/>
              <w:rPr>
                <w:rFonts w:ascii="Arial" w:hAnsi="Arial" w:cs="Arial"/>
              </w:rPr>
            </w:pPr>
          </w:p>
        </w:tc>
      </w:tr>
      <w:tr w:rsidR="00663A10" w14:paraId="6E787B2A" w14:textId="77777777" w:rsidTr="007975F6">
        <w:trPr>
          <w:trHeight w:val="796"/>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1629E56C" w14:textId="77777777" w:rsidR="00663A10" w:rsidRDefault="00663A10">
            <w:pPr>
              <w:pStyle w:val="TableParagraph"/>
              <w:spacing w:before="56"/>
              <w:ind w:left="540" w:right="440"/>
              <w:rPr>
                <w:rFonts w:ascii="Arial" w:hAnsi="Arial" w:cs="Arial"/>
              </w:rPr>
            </w:pPr>
            <w:r>
              <w:rPr>
                <w:rFonts w:ascii="Arial" w:hAnsi="Arial" w:cs="Arial"/>
              </w:rPr>
              <w:t>Standards include all type(s) of assistance that will be offered through the ESG program.</w:t>
            </w:r>
          </w:p>
        </w:tc>
        <w:tc>
          <w:tcPr>
            <w:tcW w:w="1715" w:type="dxa"/>
            <w:tcBorders>
              <w:top w:val="single" w:sz="4" w:space="0" w:color="000000"/>
              <w:left w:val="single" w:sz="4" w:space="0" w:color="000000"/>
              <w:bottom w:val="single" w:sz="4" w:space="0" w:color="000000"/>
              <w:right w:val="single" w:sz="4" w:space="0" w:color="000000"/>
            </w:tcBorders>
            <w:vAlign w:val="center"/>
          </w:tcPr>
          <w:p w14:paraId="605315CE" w14:textId="77777777" w:rsidR="00663A10" w:rsidRDefault="00663A10">
            <w:pPr>
              <w:pStyle w:val="TableParagraph"/>
              <w:spacing w:line="239" w:lineRule="exact"/>
              <w:ind w:left="270" w:right="440"/>
              <w:rPr>
                <w:rFonts w:ascii="Arial" w:hAnsi="Arial" w:cs="Arial"/>
              </w:rPr>
            </w:pPr>
          </w:p>
        </w:tc>
      </w:tr>
      <w:tr w:rsidR="00663A10" w14:paraId="4C700E7C" w14:textId="77777777" w:rsidTr="007975F6">
        <w:trPr>
          <w:trHeight w:val="1521"/>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1F19F9B7" w14:textId="77777777" w:rsidR="00663A10" w:rsidRDefault="00663A10">
            <w:pPr>
              <w:pStyle w:val="TableParagraph"/>
              <w:spacing w:before="56"/>
              <w:ind w:left="540" w:right="440"/>
              <w:rPr>
                <w:rFonts w:ascii="Arial" w:hAnsi="Arial" w:cs="Arial"/>
              </w:rPr>
            </w:pPr>
            <w:r>
              <w:rPr>
                <w:rFonts w:ascii="Arial" w:hAnsi="Arial" w:cs="Arial"/>
              </w:rPr>
              <w:t>Standards summarize the procedure in place that defines how program participants will be evaluated for eligibility of assistance under the ESG program. (Note: DV shelters must follow the requirements of the Violence Against Women Act and the Family Violence Prevention and Services Act which prohibits agencies from making its shelter or housing conditional on the participant’s acceptance of service)</w:t>
            </w:r>
          </w:p>
        </w:tc>
        <w:tc>
          <w:tcPr>
            <w:tcW w:w="1715" w:type="dxa"/>
            <w:tcBorders>
              <w:top w:val="single" w:sz="4" w:space="0" w:color="000000"/>
              <w:left w:val="single" w:sz="4" w:space="0" w:color="000000"/>
              <w:bottom w:val="single" w:sz="4" w:space="0" w:color="000000"/>
              <w:right w:val="single" w:sz="4" w:space="0" w:color="000000"/>
            </w:tcBorders>
            <w:vAlign w:val="center"/>
          </w:tcPr>
          <w:p w14:paraId="428D93E8" w14:textId="77777777" w:rsidR="00663A10" w:rsidRDefault="00663A10">
            <w:pPr>
              <w:pStyle w:val="TableParagraph"/>
              <w:spacing w:line="239" w:lineRule="exact"/>
              <w:ind w:left="270" w:right="440"/>
              <w:rPr>
                <w:rFonts w:ascii="Arial" w:hAnsi="Arial" w:cs="Arial"/>
              </w:rPr>
            </w:pPr>
          </w:p>
        </w:tc>
      </w:tr>
      <w:tr w:rsidR="00663A10" w14:paraId="212DB68E" w14:textId="77777777" w:rsidTr="007975F6">
        <w:trPr>
          <w:trHeight w:val="1254"/>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01E897C6" w14:textId="77777777" w:rsidR="00663A10" w:rsidRDefault="00663A10">
            <w:pPr>
              <w:pStyle w:val="TableParagraph"/>
              <w:tabs>
                <w:tab w:val="left" w:pos="2018"/>
                <w:tab w:val="left" w:pos="2959"/>
                <w:tab w:val="left" w:pos="4263"/>
                <w:tab w:val="left" w:pos="5469"/>
                <w:tab w:val="left" w:pos="6055"/>
              </w:tabs>
              <w:spacing w:before="55" w:line="242" w:lineRule="auto"/>
              <w:ind w:left="540" w:right="440"/>
              <w:rPr>
                <w:rFonts w:ascii="Arial" w:hAnsi="Arial" w:cs="Arial"/>
              </w:rPr>
            </w:pPr>
            <w:r>
              <w:rPr>
                <w:rFonts w:ascii="Arial" w:hAnsi="Arial" w:cs="Arial"/>
              </w:rPr>
              <w:t>Standards</w:t>
            </w:r>
            <w:r>
              <w:rPr>
                <w:rFonts w:ascii="Arial" w:hAnsi="Arial" w:cs="Arial"/>
              </w:rPr>
              <w:tab/>
              <w:t>include</w:t>
            </w:r>
            <w:r>
              <w:rPr>
                <w:rFonts w:ascii="Arial" w:hAnsi="Arial" w:cs="Arial"/>
              </w:rPr>
              <w:tab/>
              <w:t>procedures</w:t>
            </w:r>
            <w:r>
              <w:rPr>
                <w:rFonts w:ascii="Arial" w:hAnsi="Arial" w:cs="Arial"/>
              </w:rPr>
              <w:tab/>
              <w:t>describing</w:t>
            </w:r>
            <w:r>
              <w:rPr>
                <w:rFonts w:ascii="Arial" w:hAnsi="Arial" w:cs="Arial"/>
              </w:rPr>
              <w:tab/>
              <w:t>the</w:t>
            </w:r>
            <w:r>
              <w:rPr>
                <w:rFonts w:ascii="Arial" w:hAnsi="Arial" w:cs="Arial"/>
              </w:rPr>
              <w:tab/>
              <w:t>coordination (coordinated entry) emergency shelter providers, essential services providers, homelessness prevention, and rapid re-housing assistance providers, other homeless assistance providers, and mainstream service and housing</w:t>
            </w:r>
            <w:r>
              <w:rPr>
                <w:rFonts w:ascii="Arial" w:hAnsi="Arial" w:cs="Arial"/>
                <w:spacing w:val="-2"/>
              </w:rPr>
              <w:t xml:space="preserve"> </w:t>
            </w:r>
            <w:r>
              <w:rPr>
                <w:rFonts w:ascii="Arial" w:hAnsi="Arial" w:cs="Arial"/>
              </w:rPr>
              <w:t>providers.</w:t>
            </w:r>
          </w:p>
        </w:tc>
        <w:tc>
          <w:tcPr>
            <w:tcW w:w="1715" w:type="dxa"/>
            <w:tcBorders>
              <w:top w:val="single" w:sz="4" w:space="0" w:color="000000"/>
              <w:left w:val="single" w:sz="4" w:space="0" w:color="000000"/>
              <w:bottom w:val="single" w:sz="4" w:space="0" w:color="000000"/>
              <w:right w:val="single" w:sz="4" w:space="0" w:color="000000"/>
            </w:tcBorders>
            <w:vAlign w:val="center"/>
          </w:tcPr>
          <w:p w14:paraId="5313298C" w14:textId="77777777" w:rsidR="00663A10" w:rsidRDefault="00663A10">
            <w:pPr>
              <w:pStyle w:val="TableParagraph"/>
              <w:spacing w:line="239" w:lineRule="exact"/>
              <w:ind w:left="270" w:right="440"/>
              <w:rPr>
                <w:rFonts w:ascii="Arial" w:hAnsi="Arial" w:cs="Arial"/>
              </w:rPr>
            </w:pPr>
          </w:p>
        </w:tc>
      </w:tr>
      <w:tr w:rsidR="00663A10" w14:paraId="5B9A882A" w14:textId="77777777" w:rsidTr="007975F6">
        <w:trPr>
          <w:trHeight w:val="1255"/>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71C13622" w14:textId="77777777" w:rsidR="00663A10" w:rsidRDefault="00663A10">
            <w:pPr>
              <w:pStyle w:val="TableParagraph"/>
              <w:spacing w:before="57"/>
              <w:ind w:left="540" w:right="440"/>
              <w:rPr>
                <w:rFonts w:ascii="Arial" w:hAnsi="Arial" w:cs="Arial"/>
              </w:rPr>
            </w:pPr>
            <w:r>
              <w:rPr>
                <w:rFonts w:ascii="Arial" w:hAnsi="Arial" w:cs="Arial"/>
              </w:rPr>
              <w:t>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c>
          <w:tcPr>
            <w:tcW w:w="1715" w:type="dxa"/>
            <w:tcBorders>
              <w:top w:val="single" w:sz="4" w:space="0" w:color="000000"/>
              <w:left w:val="single" w:sz="4" w:space="0" w:color="000000"/>
              <w:bottom w:val="single" w:sz="4" w:space="0" w:color="000000"/>
              <w:right w:val="single" w:sz="4" w:space="0" w:color="000000"/>
            </w:tcBorders>
            <w:vAlign w:val="center"/>
          </w:tcPr>
          <w:p w14:paraId="1C469A4F" w14:textId="77777777" w:rsidR="00663A10" w:rsidRDefault="00663A10">
            <w:pPr>
              <w:pStyle w:val="TableParagraph"/>
              <w:spacing w:line="239" w:lineRule="exact"/>
              <w:ind w:left="270" w:right="440"/>
              <w:rPr>
                <w:rFonts w:ascii="Arial" w:hAnsi="Arial" w:cs="Arial"/>
              </w:rPr>
            </w:pPr>
          </w:p>
        </w:tc>
      </w:tr>
      <w:tr w:rsidR="00663A10" w14:paraId="55FDF0EC" w14:textId="77777777" w:rsidTr="007975F6">
        <w:trPr>
          <w:trHeight w:val="1254"/>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52668754" w14:textId="77777777" w:rsidR="00663A10" w:rsidRDefault="00663A10">
            <w:pPr>
              <w:pStyle w:val="TableParagraph"/>
              <w:spacing w:before="56"/>
              <w:ind w:left="540" w:right="440"/>
              <w:rPr>
                <w:rFonts w:ascii="Arial" w:hAnsi="Arial" w:cs="Arial"/>
              </w:rPr>
            </w:pPr>
            <w:r>
              <w:rPr>
                <w:rFonts w:ascii="Arial" w:hAnsi="Arial" w:cs="Arial"/>
              </w:rPr>
              <w:t>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w:t>
            </w:r>
            <w:r>
              <w:rPr>
                <w:rFonts w:ascii="Arial" w:hAnsi="Arial" w:cs="Arial"/>
                <w:spacing w:val="-14"/>
              </w:rPr>
              <w:t xml:space="preserve"> </w:t>
            </w:r>
            <w:r>
              <w:rPr>
                <w:rFonts w:ascii="Arial" w:hAnsi="Arial" w:cs="Arial"/>
              </w:rPr>
              <w:t>cases.</w:t>
            </w:r>
          </w:p>
        </w:tc>
        <w:tc>
          <w:tcPr>
            <w:tcW w:w="1715" w:type="dxa"/>
            <w:tcBorders>
              <w:top w:val="single" w:sz="4" w:space="0" w:color="000000"/>
              <w:left w:val="single" w:sz="4" w:space="0" w:color="000000"/>
              <w:bottom w:val="single" w:sz="4" w:space="0" w:color="000000"/>
              <w:right w:val="single" w:sz="4" w:space="0" w:color="000000"/>
            </w:tcBorders>
            <w:vAlign w:val="center"/>
          </w:tcPr>
          <w:p w14:paraId="426273B6" w14:textId="77777777" w:rsidR="00663A10" w:rsidRDefault="00663A10">
            <w:pPr>
              <w:pStyle w:val="TableParagraph"/>
              <w:spacing w:line="239" w:lineRule="exact"/>
              <w:ind w:left="270" w:right="440"/>
              <w:rPr>
                <w:rFonts w:ascii="Arial" w:hAnsi="Arial" w:cs="Arial"/>
              </w:rPr>
            </w:pPr>
          </w:p>
        </w:tc>
      </w:tr>
      <w:tr w:rsidR="00663A10" w14:paraId="6F26D15A" w14:textId="77777777" w:rsidTr="007975F6">
        <w:trPr>
          <w:trHeight w:val="717"/>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0A10657B" w14:textId="77777777" w:rsidR="00663A10" w:rsidRDefault="00663A10">
            <w:pPr>
              <w:pStyle w:val="TableParagraph"/>
              <w:spacing w:before="56"/>
              <w:ind w:left="540" w:right="440"/>
              <w:rPr>
                <w:rFonts w:ascii="Arial" w:hAnsi="Arial" w:cs="Arial"/>
              </w:rPr>
            </w:pPr>
            <w:r>
              <w:rPr>
                <w:rFonts w:ascii="Arial" w:hAnsi="Arial" w:cs="Arial"/>
              </w:rPr>
              <w:lastRenderedPageBreak/>
              <w:t>Standards describe the program participant’s formal grievance process. Included shall be the right for the participant to contact the agency’s Director, the Housing Division or HUD.</w:t>
            </w:r>
          </w:p>
        </w:tc>
        <w:tc>
          <w:tcPr>
            <w:tcW w:w="1715" w:type="dxa"/>
            <w:tcBorders>
              <w:top w:val="single" w:sz="4" w:space="0" w:color="000000"/>
              <w:left w:val="single" w:sz="4" w:space="0" w:color="000000"/>
              <w:bottom w:val="single" w:sz="4" w:space="0" w:color="000000"/>
              <w:right w:val="single" w:sz="4" w:space="0" w:color="000000"/>
            </w:tcBorders>
            <w:vAlign w:val="center"/>
          </w:tcPr>
          <w:p w14:paraId="3211C7B2" w14:textId="77777777" w:rsidR="00663A10" w:rsidRDefault="00663A10">
            <w:pPr>
              <w:pStyle w:val="TableParagraph"/>
              <w:spacing w:line="239" w:lineRule="exact"/>
              <w:ind w:left="270" w:right="440"/>
              <w:rPr>
                <w:rFonts w:ascii="Arial" w:hAnsi="Arial" w:cs="Arial"/>
              </w:rPr>
            </w:pPr>
          </w:p>
        </w:tc>
      </w:tr>
      <w:tr w:rsidR="00663A10" w14:paraId="08567AB8" w14:textId="77777777" w:rsidTr="007975F6">
        <w:trPr>
          <w:trHeight w:val="1253"/>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3F3A53CB" w14:textId="77777777" w:rsidR="00663A10" w:rsidRDefault="00663A10">
            <w:pPr>
              <w:pStyle w:val="TableParagraph"/>
              <w:spacing w:before="57"/>
              <w:ind w:left="540" w:right="440"/>
              <w:rPr>
                <w:rFonts w:ascii="Arial" w:hAnsi="Arial" w:cs="Arial"/>
              </w:rPr>
            </w:pPr>
            <w:r>
              <w:rPr>
                <w:rFonts w:ascii="Arial" w:hAnsi="Arial" w:cs="Arial"/>
              </w:rPr>
              <w:t>Standards include summaries regarding the requirement that clients served and activities provided with ESG funds will be entered into HMIS (or comparable database if a DV shelter), the timeframe for data to be entered, and the process for ensuring confidentiality of client records.</w:t>
            </w:r>
          </w:p>
        </w:tc>
        <w:tc>
          <w:tcPr>
            <w:tcW w:w="1715" w:type="dxa"/>
            <w:tcBorders>
              <w:top w:val="single" w:sz="4" w:space="0" w:color="000000"/>
              <w:left w:val="single" w:sz="4" w:space="0" w:color="000000"/>
              <w:bottom w:val="single" w:sz="4" w:space="0" w:color="000000"/>
              <w:right w:val="single" w:sz="4" w:space="0" w:color="000000"/>
            </w:tcBorders>
            <w:vAlign w:val="center"/>
          </w:tcPr>
          <w:p w14:paraId="3BAD7461" w14:textId="77777777" w:rsidR="00663A10" w:rsidRDefault="00663A10">
            <w:pPr>
              <w:pStyle w:val="TableParagraph"/>
              <w:spacing w:line="239" w:lineRule="exact"/>
              <w:ind w:left="270" w:right="440"/>
              <w:rPr>
                <w:rFonts w:ascii="Arial" w:hAnsi="Arial" w:cs="Arial"/>
              </w:rPr>
            </w:pPr>
          </w:p>
        </w:tc>
      </w:tr>
      <w:tr w:rsidR="00663A10" w14:paraId="3EB1CD89" w14:textId="77777777" w:rsidTr="007975F6">
        <w:trPr>
          <w:trHeight w:val="1115"/>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78AE9146" w14:textId="77777777" w:rsidR="00663A10" w:rsidRDefault="00663A10">
            <w:pPr>
              <w:pStyle w:val="TableParagraph"/>
              <w:spacing w:before="121"/>
              <w:ind w:left="540" w:right="440"/>
              <w:rPr>
                <w:rFonts w:ascii="Arial" w:hAnsi="Arial" w:cs="Arial"/>
              </w:rPr>
            </w:pPr>
            <w:r>
              <w:rPr>
                <w:rFonts w:ascii="Arial" w:hAnsi="Arial" w:cs="Arial"/>
              </w:rPr>
              <w:t>Standards include steps used to ensure clients receiving ESG assistance are provided all applicable HMIS releases, forms, client complaint process, etc. as required by HMIS regulations.</w:t>
            </w:r>
          </w:p>
        </w:tc>
        <w:tc>
          <w:tcPr>
            <w:tcW w:w="1715" w:type="dxa"/>
            <w:tcBorders>
              <w:top w:val="single" w:sz="4" w:space="0" w:color="000000"/>
              <w:left w:val="single" w:sz="4" w:space="0" w:color="000000"/>
              <w:bottom w:val="single" w:sz="4" w:space="0" w:color="000000"/>
              <w:right w:val="single" w:sz="4" w:space="0" w:color="000000"/>
            </w:tcBorders>
            <w:vAlign w:val="center"/>
          </w:tcPr>
          <w:p w14:paraId="5C081F9E" w14:textId="77777777" w:rsidR="00663A10" w:rsidRDefault="00663A10">
            <w:pPr>
              <w:pStyle w:val="TableParagraph"/>
              <w:spacing w:line="239" w:lineRule="exact"/>
              <w:ind w:left="270" w:right="440"/>
              <w:rPr>
                <w:rFonts w:ascii="Arial" w:hAnsi="Arial" w:cs="Arial"/>
              </w:rPr>
            </w:pPr>
          </w:p>
        </w:tc>
      </w:tr>
      <w:tr w:rsidR="00663A10" w14:paraId="130A9FB7" w14:textId="77777777" w:rsidTr="007975F6">
        <w:trPr>
          <w:trHeight w:val="395"/>
          <w:jc w:val="center"/>
        </w:trPr>
        <w:tc>
          <w:tcPr>
            <w:tcW w:w="102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5892F5" w14:textId="77777777" w:rsidR="00663A10" w:rsidRDefault="00663A10">
            <w:pPr>
              <w:pStyle w:val="TableParagraph"/>
              <w:spacing w:before="61"/>
              <w:ind w:left="270" w:right="440"/>
              <w:jc w:val="center"/>
              <w:rPr>
                <w:rFonts w:ascii="Arial" w:hAnsi="Arial" w:cs="Arial"/>
                <w:b/>
              </w:rPr>
            </w:pPr>
            <w:r>
              <w:rPr>
                <w:rFonts w:ascii="Arial" w:hAnsi="Arial" w:cs="Arial"/>
                <w:b/>
              </w:rPr>
              <w:t>STREET OUTREACH AND EMERGENCY SHELTER REQUIREMENTS</w:t>
            </w:r>
          </w:p>
        </w:tc>
      </w:tr>
      <w:tr w:rsidR="00663A10" w14:paraId="14C35F00" w14:textId="77777777" w:rsidTr="007975F6">
        <w:trPr>
          <w:trHeight w:val="717"/>
          <w:jc w:val="center"/>
        </w:trPr>
        <w:tc>
          <w:tcPr>
            <w:tcW w:w="8545" w:type="dxa"/>
            <w:tcBorders>
              <w:top w:val="single" w:sz="4" w:space="0" w:color="000000"/>
              <w:left w:val="single" w:sz="4" w:space="0" w:color="000000"/>
              <w:bottom w:val="single" w:sz="4" w:space="0" w:color="000000"/>
              <w:right w:val="single" w:sz="4" w:space="0" w:color="000000"/>
            </w:tcBorders>
            <w:hideMark/>
          </w:tcPr>
          <w:p w14:paraId="199DF9BD" w14:textId="77777777" w:rsidR="00663A10" w:rsidRDefault="00663A10">
            <w:pPr>
              <w:pStyle w:val="TableParagraph"/>
              <w:spacing w:before="83"/>
              <w:ind w:left="540" w:right="440"/>
              <w:rPr>
                <w:rFonts w:ascii="Arial" w:hAnsi="Arial" w:cs="Arial"/>
              </w:rPr>
            </w:pPr>
            <w:r>
              <w:rPr>
                <w:rFonts w:ascii="Arial" w:hAnsi="Arial" w:cs="Arial"/>
              </w:rPr>
              <w:t>Standards include a summary of how agency staff will target and provide services related to street outreach.</w:t>
            </w:r>
          </w:p>
        </w:tc>
        <w:tc>
          <w:tcPr>
            <w:tcW w:w="1715" w:type="dxa"/>
            <w:tcBorders>
              <w:top w:val="single" w:sz="4" w:space="0" w:color="000000"/>
              <w:left w:val="single" w:sz="4" w:space="0" w:color="000000"/>
              <w:bottom w:val="single" w:sz="4" w:space="0" w:color="000000"/>
              <w:right w:val="single" w:sz="4" w:space="0" w:color="000000"/>
            </w:tcBorders>
          </w:tcPr>
          <w:p w14:paraId="5C827B5C" w14:textId="77777777" w:rsidR="00663A10" w:rsidRDefault="00663A10">
            <w:pPr>
              <w:pStyle w:val="TableParagraph"/>
              <w:spacing w:line="239" w:lineRule="exact"/>
              <w:ind w:left="270" w:right="440"/>
              <w:rPr>
                <w:rFonts w:ascii="Arial" w:hAnsi="Arial" w:cs="Arial"/>
              </w:rPr>
            </w:pPr>
          </w:p>
        </w:tc>
      </w:tr>
      <w:tr w:rsidR="00663A10" w14:paraId="78287160" w14:textId="77777777" w:rsidTr="007975F6">
        <w:trPr>
          <w:trHeight w:val="1252"/>
          <w:jc w:val="center"/>
        </w:trPr>
        <w:tc>
          <w:tcPr>
            <w:tcW w:w="8545" w:type="dxa"/>
            <w:tcBorders>
              <w:top w:val="single" w:sz="4" w:space="0" w:color="000000"/>
              <w:left w:val="single" w:sz="4" w:space="0" w:color="000000"/>
              <w:bottom w:val="single" w:sz="4" w:space="0" w:color="000000"/>
              <w:right w:val="single" w:sz="4" w:space="0" w:color="000000"/>
            </w:tcBorders>
            <w:hideMark/>
          </w:tcPr>
          <w:p w14:paraId="26205007" w14:textId="77777777" w:rsidR="00663A10" w:rsidRDefault="00663A10">
            <w:pPr>
              <w:pStyle w:val="TableParagraph"/>
              <w:spacing w:before="83"/>
              <w:ind w:left="540" w:right="440"/>
              <w:rPr>
                <w:rFonts w:ascii="Arial" w:hAnsi="Arial" w:cs="Arial"/>
              </w:rPr>
            </w:pPr>
            <w:r>
              <w:rPr>
                <w:rFonts w:ascii="Arial" w:hAnsi="Arial" w:cs="Arial"/>
              </w:rPr>
              <w:t>Standards include steps for admission, diversion, referral, and discharge by emergency shelters assisted under ESG, including standards regarding length of stay limits, if any, and safeguards to meet the safety and shelter needs of special populations, such as victims of domestic violence, sexual assault, etc.</w:t>
            </w:r>
          </w:p>
        </w:tc>
        <w:tc>
          <w:tcPr>
            <w:tcW w:w="1715" w:type="dxa"/>
            <w:tcBorders>
              <w:top w:val="single" w:sz="4" w:space="0" w:color="000000"/>
              <w:left w:val="single" w:sz="4" w:space="0" w:color="000000"/>
              <w:bottom w:val="single" w:sz="4" w:space="0" w:color="000000"/>
              <w:right w:val="single" w:sz="4" w:space="0" w:color="000000"/>
            </w:tcBorders>
          </w:tcPr>
          <w:p w14:paraId="40AAEBE4" w14:textId="77777777" w:rsidR="00663A10" w:rsidRDefault="00663A10">
            <w:pPr>
              <w:pStyle w:val="TableParagraph"/>
              <w:spacing w:line="239" w:lineRule="exact"/>
              <w:ind w:left="270" w:right="440"/>
              <w:rPr>
                <w:rFonts w:ascii="Arial" w:hAnsi="Arial" w:cs="Arial"/>
              </w:rPr>
            </w:pPr>
          </w:p>
        </w:tc>
      </w:tr>
      <w:tr w:rsidR="00663A10" w14:paraId="4255FAEB" w14:textId="77777777" w:rsidTr="007975F6">
        <w:trPr>
          <w:trHeight w:val="985"/>
          <w:jc w:val="center"/>
        </w:trPr>
        <w:tc>
          <w:tcPr>
            <w:tcW w:w="8545" w:type="dxa"/>
            <w:tcBorders>
              <w:top w:val="single" w:sz="4" w:space="0" w:color="000000"/>
              <w:left w:val="single" w:sz="4" w:space="0" w:color="000000"/>
              <w:bottom w:val="single" w:sz="4" w:space="0" w:color="000000"/>
              <w:right w:val="single" w:sz="4" w:space="0" w:color="000000"/>
            </w:tcBorders>
            <w:hideMark/>
          </w:tcPr>
          <w:p w14:paraId="42927120" w14:textId="77777777" w:rsidR="00663A10" w:rsidRDefault="00663A10">
            <w:pPr>
              <w:pStyle w:val="TableParagraph"/>
              <w:spacing w:before="83"/>
              <w:ind w:left="540" w:right="440"/>
              <w:rPr>
                <w:rFonts w:ascii="Arial" w:hAnsi="Arial" w:cs="Arial"/>
              </w:rPr>
            </w:pPr>
            <w:r>
              <w:rPr>
                <w:rFonts w:ascii="Arial" w:hAnsi="Arial" w:cs="Arial"/>
              </w:rPr>
              <w:t>Standards include steps for admission, diversion, referral and discharge by emergency shelters assisted under ESG for individuals and families who have the highest barriers to housing and are likely to be homeless the longest.</w:t>
            </w:r>
          </w:p>
        </w:tc>
        <w:tc>
          <w:tcPr>
            <w:tcW w:w="1715" w:type="dxa"/>
            <w:tcBorders>
              <w:top w:val="single" w:sz="4" w:space="0" w:color="000000"/>
              <w:left w:val="single" w:sz="4" w:space="0" w:color="000000"/>
              <w:bottom w:val="single" w:sz="4" w:space="0" w:color="000000"/>
              <w:right w:val="single" w:sz="4" w:space="0" w:color="000000"/>
            </w:tcBorders>
          </w:tcPr>
          <w:p w14:paraId="070ABF35" w14:textId="77777777" w:rsidR="00663A10" w:rsidRDefault="00663A10">
            <w:pPr>
              <w:pStyle w:val="TableParagraph"/>
              <w:spacing w:line="239" w:lineRule="exact"/>
              <w:ind w:left="270" w:right="440"/>
              <w:rPr>
                <w:rFonts w:ascii="Arial" w:hAnsi="Arial" w:cs="Arial"/>
              </w:rPr>
            </w:pPr>
          </w:p>
        </w:tc>
      </w:tr>
      <w:tr w:rsidR="00663A10" w14:paraId="470CE7BB" w14:textId="77777777" w:rsidTr="007975F6">
        <w:trPr>
          <w:trHeight w:val="717"/>
          <w:jc w:val="center"/>
        </w:trPr>
        <w:tc>
          <w:tcPr>
            <w:tcW w:w="8545" w:type="dxa"/>
            <w:tcBorders>
              <w:top w:val="single" w:sz="4" w:space="0" w:color="000000"/>
              <w:left w:val="single" w:sz="4" w:space="0" w:color="000000"/>
              <w:bottom w:val="single" w:sz="4" w:space="0" w:color="000000"/>
              <w:right w:val="single" w:sz="4" w:space="0" w:color="000000"/>
            </w:tcBorders>
            <w:hideMark/>
          </w:tcPr>
          <w:p w14:paraId="7787D8B8" w14:textId="77777777" w:rsidR="00663A10" w:rsidRDefault="00663A10">
            <w:pPr>
              <w:pStyle w:val="TableParagraph"/>
              <w:spacing w:before="83"/>
              <w:ind w:left="540" w:right="440"/>
              <w:rPr>
                <w:rFonts w:ascii="Arial" w:hAnsi="Arial" w:cs="Arial"/>
              </w:rPr>
            </w:pPr>
            <w:r>
              <w:rPr>
                <w:rFonts w:ascii="Arial" w:hAnsi="Arial" w:cs="Arial"/>
              </w:rPr>
              <w:t>Standards include assessing, prioritizing, and reassessing individuals and families’ needs for essential services related to emergency shelter.</w:t>
            </w:r>
          </w:p>
        </w:tc>
        <w:tc>
          <w:tcPr>
            <w:tcW w:w="1715" w:type="dxa"/>
            <w:tcBorders>
              <w:top w:val="single" w:sz="4" w:space="0" w:color="000000"/>
              <w:left w:val="single" w:sz="4" w:space="0" w:color="000000"/>
              <w:bottom w:val="single" w:sz="4" w:space="0" w:color="000000"/>
              <w:right w:val="single" w:sz="4" w:space="0" w:color="000000"/>
            </w:tcBorders>
          </w:tcPr>
          <w:p w14:paraId="3191F265" w14:textId="77777777" w:rsidR="00663A10" w:rsidRDefault="00663A10">
            <w:pPr>
              <w:pStyle w:val="TableParagraph"/>
              <w:spacing w:line="239" w:lineRule="exact"/>
              <w:ind w:left="270" w:right="440"/>
              <w:rPr>
                <w:rFonts w:ascii="Arial" w:hAnsi="Arial" w:cs="Arial"/>
              </w:rPr>
            </w:pPr>
          </w:p>
        </w:tc>
      </w:tr>
      <w:tr w:rsidR="00663A10" w14:paraId="310693E8" w14:textId="77777777" w:rsidTr="007975F6">
        <w:trPr>
          <w:trHeight w:val="422"/>
          <w:jc w:val="center"/>
        </w:trPr>
        <w:tc>
          <w:tcPr>
            <w:tcW w:w="102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22BF02" w14:textId="77777777" w:rsidR="00663A10" w:rsidRDefault="00663A10">
            <w:pPr>
              <w:pStyle w:val="TableParagraph"/>
              <w:spacing w:before="73"/>
              <w:ind w:left="270" w:right="440"/>
              <w:jc w:val="center"/>
              <w:rPr>
                <w:rFonts w:ascii="Arial" w:hAnsi="Arial" w:cs="Arial"/>
                <w:b/>
              </w:rPr>
            </w:pPr>
            <w:r>
              <w:rPr>
                <w:rFonts w:ascii="Arial" w:hAnsi="Arial" w:cs="Arial"/>
                <w:b/>
              </w:rPr>
              <w:t>HOMELESS PREVENTION AND RAPID RE-HOUSING REQUIREMENTS</w:t>
            </w:r>
          </w:p>
        </w:tc>
      </w:tr>
      <w:tr w:rsidR="00663A10" w14:paraId="5C6D6F6A" w14:textId="77777777" w:rsidTr="007975F6">
        <w:trPr>
          <w:trHeight w:val="674"/>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6464FF80" w14:textId="77777777" w:rsidR="00663A10" w:rsidRDefault="00663A10">
            <w:pPr>
              <w:pStyle w:val="TableParagraph"/>
              <w:spacing w:before="83"/>
              <w:ind w:left="540" w:right="440"/>
              <w:rPr>
                <w:rFonts w:ascii="Arial" w:hAnsi="Arial" w:cs="Arial"/>
              </w:rPr>
            </w:pPr>
            <w:r>
              <w:rPr>
                <w:rFonts w:ascii="Arial" w:hAnsi="Arial" w:cs="Arial"/>
              </w:rPr>
              <w:t>Standards shall include definitions of who is considered to be homeless and at-risk of homelessness, as defined in 576.2.</w:t>
            </w:r>
          </w:p>
        </w:tc>
        <w:tc>
          <w:tcPr>
            <w:tcW w:w="1715" w:type="dxa"/>
            <w:tcBorders>
              <w:top w:val="single" w:sz="4" w:space="0" w:color="000000"/>
              <w:left w:val="single" w:sz="4" w:space="0" w:color="000000"/>
              <w:bottom w:val="single" w:sz="4" w:space="0" w:color="000000"/>
              <w:right w:val="single" w:sz="4" w:space="0" w:color="000000"/>
            </w:tcBorders>
          </w:tcPr>
          <w:p w14:paraId="11AAB1A3" w14:textId="77777777" w:rsidR="00663A10" w:rsidRDefault="00663A10">
            <w:pPr>
              <w:pStyle w:val="TableParagraph"/>
              <w:spacing w:line="239" w:lineRule="exact"/>
              <w:ind w:left="270" w:right="440"/>
              <w:rPr>
                <w:rFonts w:ascii="Arial" w:hAnsi="Arial" w:cs="Arial"/>
              </w:rPr>
            </w:pPr>
          </w:p>
        </w:tc>
      </w:tr>
      <w:tr w:rsidR="00663A10" w14:paraId="22C0DCB9" w14:textId="77777777" w:rsidTr="007975F6">
        <w:trPr>
          <w:trHeight w:val="717"/>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6D580DFF" w14:textId="77777777" w:rsidR="00663A10" w:rsidRDefault="00663A10">
            <w:pPr>
              <w:pStyle w:val="TableParagraph"/>
              <w:spacing w:before="83"/>
              <w:ind w:left="540" w:right="440"/>
              <w:rPr>
                <w:rFonts w:ascii="Arial" w:hAnsi="Arial" w:cs="Arial"/>
              </w:rPr>
            </w:pPr>
            <w:r>
              <w:rPr>
                <w:rFonts w:ascii="Arial" w:hAnsi="Arial" w:cs="Arial"/>
              </w:rPr>
              <w:t>Standards include a process for determining and prioritizing which eligible families and individuals will receive homeless prevention or rapid re-housing assistance.</w:t>
            </w:r>
          </w:p>
        </w:tc>
        <w:tc>
          <w:tcPr>
            <w:tcW w:w="1715" w:type="dxa"/>
            <w:tcBorders>
              <w:top w:val="single" w:sz="4" w:space="0" w:color="000000"/>
              <w:left w:val="single" w:sz="4" w:space="0" w:color="000000"/>
              <w:bottom w:val="single" w:sz="4" w:space="0" w:color="000000"/>
              <w:right w:val="single" w:sz="4" w:space="0" w:color="000000"/>
            </w:tcBorders>
          </w:tcPr>
          <w:p w14:paraId="661DDD54" w14:textId="77777777" w:rsidR="00663A10" w:rsidRDefault="00663A10">
            <w:pPr>
              <w:pStyle w:val="TableParagraph"/>
              <w:spacing w:line="239" w:lineRule="exact"/>
              <w:ind w:left="270" w:right="440"/>
              <w:rPr>
                <w:rFonts w:ascii="Arial" w:hAnsi="Arial" w:cs="Arial"/>
              </w:rPr>
            </w:pPr>
          </w:p>
        </w:tc>
      </w:tr>
      <w:tr w:rsidR="00663A10" w14:paraId="3374D216" w14:textId="77777777" w:rsidTr="007975F6">
        <w:trPr>
          <w:trHeight w:val="986"/>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5BE06CB0" w14:textId="77777777" w:rsidR="00663A10" w:rsidRDefault="00663A10">
            <w:pPr>
              <w:pStyle w:val="TableParagraph"/>
              <w:spacing w:before="83"/>
              <w:ind w:left="540" w:right="440"/>
              <w:rPr>
                <w:rFonts w:ascii="Arial" w:hAnsi="Arial" w:cs="Arial"/>
              </w:rPr>
            </w:pPr>
            <w:r>
              <w:rPr>
                <w:rFonts w:ascii="Arial" w:hAnsi="Arial" w:cs="Arial"/>
              </w:rPr>
              <w:t>Standards include standards for determining what percentage or amount of rent and utilities costs each program participant must pay while receiving homelessness prevention or rapid re- housing assistance.</w:t>
            </w:r>
          </w:p>
        </w:tc>
        <w:tc>
          <w:tcPr>
            <w:tcW w:w="1715" w:type="dxa"/>
            <w:tcBorders>
              <w:top w:val="single" w:sz="4" w:space="0" w:color="000000"/>
              <w:left w:val="single" w:sz="4" w:space="0" w:color="000000"/>
              <w:bottom w:val="single" w:sz="4" w:space="0" w:color="000000"/>
              <w:right w:val="single" w:sz="4" w:space="0" w:color="000000"/>
            </w:tcBorders>
          </w:tcPr>
          <w:p w14:paraId="4BB680B7" w14:textId="77777777" w:rsidR="00663A10" w:rsidRDefault="00663A10">
            <w:pPr>
              <w:pStyle w:val="TableParagraph"/>
              <w:spacing w:line="239" w:lineRule="exact"/>
              <w:ind w:left="270" w:right="440"/>
              <w:rPr>
                <w:rFonts w:ascii="Arial" w:hAnsi="Arial" w:cs="Arial"/>
              </w:rPr>
            </w:pPr>
          </w:p>
        </w:tc>
      </w:tr>
      <w:tr w:rsidR="00663A10" w14:paraId="65C85B09" w14:textId="77777777" w:rsidTr="007975F6">
        <w:trPr>
          <w:trHeight w:val="1255"/>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23AC5529" w14:textId="77777777" w:rsidR="00663A10" w:rsidRDefault="00663A10">
            <w:pPr>
              <w:pStyle w:val="TableParagraph"/>
              <w:spacing w:before="83"/>
              <w:ind w:left="540" w:right="440"/>
              <w:rPr>
                <w:rFonts w:ascii="Arial" w:hAnsi="Arial" w:cs="Arial"/>
              </w:rPr>
            </w:pPr>
            <w:r>
              <w:rPr>
                <w:rFonts w:ascii="Arial" w:hAnsi="Arial" w:cs="Arial"/>
              </w:rPr>
              <w:t>Standards include process for evaluating and documenting income eligibility since program participant’s income must be below 30% of area median income as established by HUD for the area in which the participant lives when entering the program. Agencies must follow guidelines found under 24 CFR 5.609 when calculating income.</w:t>
            </w:r>
          </w:p>
        </w:tc>
        <w:tc>
          <w:tcPr>
            <w:tcW w:w="1715" w:type="dxa"/>
            <w:tcBorders>
              <w:top w:val="single" w:sz="4" w:space="0" w:color="000000"/>
              <w:left w:val="single" w:sz="4" w:space="0" w:color="000000"/>
              <w:bottom w:val="single" w:sz="4" w:space="0" w:color="000000"/>
              <w:right w:val="single" w:sz="4" w:space="0" w:color="000000"/>
            </w:tcBorders>
          </w:tcPr>
          <w:p w14:paraId="254BBE18" w14:textId="77777777" w:rsidR="00663A10" w:rsidRDefault="00663A10">
            <w:pPr>
              <w:pStyle w:val="TableParagraph"/>
              <w:spacing w:line="239" w:lineRule="exact"/>
              <w:ind w:left="270" w:right="440"/>
              <w:rPr>
                <w:rFonts w:ascii="Arial" w:hAnsi="Arial" w:cs="Arial"/>
              </w:rPr>
            </w:pPr>
          </w:p>
        </w:tc>
      </w:tr>
      <w:tr w:rsidR="00663A10" w14:paraId="6FB0DE80" w14:textId="77777777" w:rsidTr="007975F6">
        <w:trPr>
          <w:trHeight w:val="1043"/>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52594A93" w14:textId="77777777" w:rsidR="00663A10" w:rsidRDefault="00663A10">
            <w:pPr>
              <w:pStyle w:val="TableParagraph"/>
              <w:spacing w:before="83"/>
              <w:ind w:left="540" w:right="440"/>
              <w:rPr>
                <w:rFonts w:ascii="Arial" w:hAnsi="Arial" w:cs="Arial"/>
              </w:rPr>
            </w:pPr>
            <w:r>
              <w:rPr>
                <w:rFonts w:ascii="Arial" w:hAnsi="Arial" w:cs="Arial"/>
              </w:rPr>
              <w:t>Standards include the steps to determine the eligibility of rental assistance, including steps to determine that rent + utilities do not exceed Fair Market Rents for the area of service.</w:t>
            </w:r>
          </w:p>
        </w:tc>
        <w:tc>
          <w:tcPr>
            <w:tcW w:w="1715" w:type="dxa"/>
            <w:tcBorders>
              <w:top w:val="single" w:sz="4" w:space="0" w:color="000000"/>
              <w:left w:val="single" w:sz="4" w:space="0" w:color="000000"/>
              <w:bottom w:val="single" w:sz="4" w:space="0" w:color="000000"/>
              <w:right w:val="single" w:sz="4" w:space="0" w:color="000000"/>
            </w:tcBorders>
          </w:tcPr>
          <w:p w14:paraId="468ECF3B" w14:textId="77777777" w:rsidR="00663A10" w:rsidRDefault="00663A10">
            <w:pPr>
              <w:pStyle w:val="TableParagraph"/>
              <w:spacing w:line="239" w:lineRule="exact"/>
              <w:ind w:left="270" w:right="440"/>
              <w:rPr>
                <w:rFonts w:ascii="Arial" w:hAnsi="Arial" w:cs="Arial"/>
              </w:rPr>
            </w:pPr>
          </w:p>
        </w:tc>
      </w:tr>
      <w:tr w:rsidR="00663A10" w14:paraId="26B9214D" w14:textId="77777777" w:rsidTr="007975F6">
        <w:trPr>
          <w:trHeight w:val="1214"/>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6F54CD0F" w14:textId="77777777" w:rsidR="00663A10" w:rsidRDefault="00663A10">
            <w:pPr>
              <w:pStyle w:val="TableParagraph"/>
              <w:spacing w:before="83"/>
              <w:ind w:left="540" w:right="440"/>
              <w:rPr>
                <w:rFonts w:ascii="Arial" w:hAnsi="Arial" w:cs="Arial"/>
              </w:rPr>
            </w:pPr>
            <w:r>
              <w:rPr>
                <w:rFonts w:ascii="Arial" w:hAnsi="Arial" w:cs="Arial"/>
              </w:rPr>
              <w:t>Standards include how agency staff will document FMR and rent reasonableness standards, lead based paint inspections, and housing inspections. Included shall be procedures to verify and document the age of the units built before 1978 may contain lead-based paint.</w:t>
            </w:r>
          </w:p>
        </w:tc>
        <w:tc>
          <w:tcPr>
            <w:tcW w:w="1715" w:type="dxa"/>
            <w:tcBorders>
              <w:top w:val="single" w:sz="4" w:space="0" w:color="000000"/>
              <w:left w:val="single" w:sz="4" w:space="0" w:color="000000"/>
              <w:bottom w:val="single" w:sz="4" w:space="0" w:color="000000"/>
              <w:right w:val="single" w:sz="4" w:space="0" w:color="000000"/>
            </w:tcBorders>
          </w:tcPr>
          <w:p w14:paraId="234B9C55" w14:textId="77777777" w:rsidR="00663A10" w:rsidRDefault="00663A10">
            <w:pPr>
              <w:pStyle w:val="TableParagraph"/>
              <w:spacing w:line="239" w:lineRule="exact"/>
              <w:ind w:left="270" w:right="440"/>
              <w:rPr>
                <w:rFonts w:ascii="Arial" w:hAnsi="Arial" w:cs="Arial"/>
              </w:rPr>
            </w:pPr>
          </w:p>
        </w:tc>
      </w:tr>
      <w:tr w:rsidR="00663A10" w14:paraId="329F8EC3" w14:textId="77777777" w:rsidTr="007975F6">
        <w:trPr>
          <w:trHeight w:val="986"/>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273F5832" w14:textId="77777777" w:rsidR="00663A10" w:rsidRDefault="00663A10">
            <w:pPr>
              <w:pStyle w:val="TableParagraph"/>
              <w:spacing w:before="83"/>
              <w:ind w:left="540" w:right="440"/>
              <w:rPr>
                <w:rFonts w:ascii="Arial" w:hAnsi="Arial" w:cs="Arial"/>
              </w:rPr>
            </w:pPr>
            <w:r>
              <w:rPr>
                <w:rFonts w:ascii="Arial" w:hAnsi="Arial" w:cs="Arial"/>
              </w:rPr>
              <w:lastRenderedPageBreak/>
              <w:t>Standards include steps for determining how long a program participant will be provided rental assistance and whether or not (and how) the amount of that assistance will be adjusted over time, if applicable.</w:t>
            </w:r>
          </w:p>
        </w:tc>
        <w:tc>
          <w:tcPr>
            <w:tcW w:w="1715" w:type="dxa"/>
            <w:tcBorders>
              <w:top w:val="single" w:sz="4" w:space="0" w:color="000000"/>
              <w:left w:val="single" w:sz="4" w:space="0" w:color="000000"/>
              <w:bottom w:val="single" w:sz="4" w:space="0" w:color="000000"/>
              <w:right w:val="single" w:sz="4" w:space="0" w:color="000000"/>
            </w:tcBorders>
          </w:tcPr>
          <w:p w14:paraId="44274C1B" w14:textId="77777777" w:rsidR="00663A10" w:rsidRDefault="00663A10">
            <w:pPr>
              <w:pStyle w:val="TableParagraph"/>
              <w:spacing w:line="239" w:lineRule="exact"/>
              <w:ind w:left="270" w:right="440"/>
              <w:rPr>
                <w:rFonts w:ascii="Arial" w:hAnsi="Arial" w:cs="Arial"/>
              </w:rPr>
            </w:pPr>
          </w:p>
        </w:tc>
      </w:tr>
      <w:tr w:rsidR="00663A10" w14:paraId="416A2ACC" w14:textId="77777777" w:rsidTr="007975F6">
        <w:trPr>
          <w:trHeight w:val="1792"/>
          <w:jc w:val="center"/>
        </w:trPr>
        <w:tc>
          <w:tcPr>
            <w:tcW w:w="8545" w:type="dxa"/>
            <w:tcBorders>
              <w:top w:val="single" w:sz="4" w:space="0" w:color="000000"/>
              <w:left w:val="single" w:sz="4" w:space="0" w:color="000000"/>
              <w:bottom w:val="single" w:sz="4" w:space="0" w:color="000000"/>
              <w:right w:val="single" w:sz="4" w:space="0" w:color="000000"/>
            </w:tcBorders>
            <w:vAlign w:val="center"/>
          </w:tcPr>
          <w:p w14:paraId="2E349859" w14:textId="77777777" w:rsidR="00663A10" w:rsidRDefault="00663A10">
            <w:pPr>
              <w:pStyle w:val="TableParagraph"/>
              <w:spacing w:before="83"/>
              <w:ind w:left="540" w:right="440"/>
              <w:rPr>
                <w:rFonts w:ascii="Arial" w:hAnsi="Arial" w:cs="Arial"/>
              </w:rPr>
            </w:pPr>
            <w:r>
              <w:rPr>
                <w:rFonts w:ascii="Arial" w:hAnsi="Arial" w:cs="Arial"/>
              </w:rPr>
              <w:t>Standards include steps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the maximum number of months the program participant receives assistance, or the maximum number of times the program participant may receive assistance.</w:t>
            </w:r>
          </w:p>
          <w:p w14:paraId="32C54914" w14:textId="77777777" w:rsidR="00663A10" w:rsidRDefault="00663A10">
            <w:pPr>
              <w:pStyle w:val="TableParagraph"/>
              <w:spacing w:before="83"/>
              <w:ind w:left="540" w:right="440"/>
              <w:rPr>
                <w:rFonts w:ascii="Arial" w:hAnsi="Arial" w:cs="Arial"/>
              </w:rPr>
            </w:pPr>
          </w:p>
        </w:tc>
        <w:tc>
          <w:tcPr>
            <w:tcW w:w="1715" w:type="dxa"/>
            <w:tcBorders>
              <w:top w:val="single" w:sz="4" w:space="0" w:color="000000"/>
              <w:left w:val="single" w:sz="4" w:space="0" w:color="000000"/>
              <w:bottom w:val="single" w:sz="4" w:space="0" w:color="000000"/>
              <w:right w:val="single" w:sz="4" w:space="0" w:color="000000"/>
            </w:tcBorders>
          </w:tcPr>
          <w:p w14:paraId="55914753" w14:textId="77777777" w:rsidR="00663A10" w:rsidRDefault="00663A10">
            <w:pPr>
              <w:pStyle w:val="TableParagraph"/>
              <w:spacing w:line="239" w:lineRule="exact"/>
              <w:ind w:left="270" w:right="440"/>
              <w:rPr>
                <w:rFonts w:ascii="Arial" w:hAnsi="Arial" w:cs="Arial"/>
              </w:rPr>
            </w:pPr>
          </w:p>
        </w:tc>
      </w:tr>
      <w:tr w:rsidR="00663A10" w14:paraId="2DF67485" w14:textId="77777777" w:rsidTr="007975F6">
        <w:trPr>
          <w:trHeight w:val="3680"/>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7D2AEC7C" w14:textId="77777777" w:rsidR="00663A10" w:rsidRDefault="00663A10">
            <w:pPr>
              <w:pStyle w:val="TableParagraph"/>
              <w:spacing w:before="83"/>
              <w:ind w:left="540" w:right="440"/>
              <w:rPr>
                <w:rFonts w:ascii="Arial" w:hAnsi="Arial" w:cs="Arial"/>
              </w:rPr>
            </w:pPr>
            <w:r>
              <w:rPr>
                <w:rFonts w:ascii="Arial" w:hAnsi="Arial" w:cs="Arial"/>
              </w:rPr>
              <w:t xml:space="preserve"> Standards that includes the requirements of program participants to meet with a case manager not less than once per month to assist the program participant in ensuring long-term housing stability (and be documented in client case file and HMIS). Included shall be the agency’s plan to assist the program participant to retain permanent housing after the ESG assistance ends, taking into account all relevant considerations such as the program participant’s current or expected income and expenses, other public or private assistance for with the program participant will be eligible and likely to receive, and the relative affordability of available housing in the area. (Note DV shelters must follow the requirements of the Violence Against Women Act or the Family Violence Prevention and Services Act which prohibits agencies from making its shelter or housing conditional on the participants acceptance of service.)</w:t>
            </w:r>
          </w:p>
        </w:tc>
        <w:tc>
          <w:tcPr>
            <w:tcW w:w="1715" w:type="dxa"/>
            <w:tcBorders>
              <w:top w:val="single" w:sz="4" w:space="0" w:color="000000"/>
              <w:left w:val="single" w:sz="4" w:space="0" w:color="000000"/>
              <w:bottom w:val="single" w:sz="4" w:space="0" w:color="000000"/>
              <w:right w:val="single" w:sz="4" w:space="0" w:color="000000"/>
            </w:tcBorders>
          </w:tcPr>
          <w:p w14:paraId="72BF3F90" w14:textId="77777777" w:rsidR="00663A10" w:rsidRDefault="00663A10">
            <w:pPr>
              <w:pStyle w:val="TableParagraph"/>
              <w:spacing w:line="239" w:lineRule="exact"/>
              <w:ind w:left="270" w:right="440"/>
              <w:rPr>
                <w:rFonts w:ascii="Arial" w:hAnsi="Arial" w:cs="Arial"/>
              </w:rPr>
            </w:pPr>
          </w:p>
        </w:tc>
      </w:tr>
      <w:tr w:rsidR="00663A10" w14:paraId="658292F5" w14:textId="77777777" w:rsidTr="007975F6">
        <w:trPr>
          <w:trHeight w:val="2519"/>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62E0D9DF" w14:textId="77777777" w:rsidR="00663A10" w:rsidRDefault="00663A10">
            <w:pPr>
              <w:pStyle w:val="TableParagraph"/>
              <w:spacing w:before="83"/>
              <w:ind w:left="540" w:right="440"/>
              <w:rPr>
                <w:rFonts w:ascii="Arial" w:hAnsi="Arial" w:cs="Arial"/>
              </w:rPr>
            </w:pPr>
            <w:r>
              <w:rPr>
                <w:rFonts w:ascii="Arial" w:hAnsi="Arial" w:cs="Arial"/>
              </w:rPr>
              <w:t>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 assistance and not less than once annually for program participants receiving rapid re-housing assistance. Income limits shall not exceed 30% of AMI; the participants still lack the resources and support networks necessary to retain housing.</w:t>
            </w:r>
          </w:p>
        </w:tc>
        <w:tc>
          <w:tcPr>
            <w:tcW w:w="1715" w:type="dxa"/>
            <w:tcBorders>
              <w:top w:val="single" w:sz="4" w:space="0" w:color="000000"/>
              <w:left w:val="single" w:sz="4" w:space="0" w:color="000000"/>
              <w:bottom w:val="single" w:sz="4" w:space="0" w:color="000000"/>
              <w:right w:val="single" w:sz="4" w:space="0" w:color="000000"/>
            </w:tcBorders>
          </w:tcPr>
          <w:p w14:paraId="67132BC2" w14:textId="77777777" w:rsidR="00663A10" w:rsidRDefault="00663A10">
            <w:pPr>
              <w:pStyle w:val="TableParagraph"/>
              <w:spacing w:line="239" w:lineRule="exact"/>
              <w:ind w:left="270" w:right="440"/>
              <w:rPr>
                <w:rFonts w:ascii="Arial" w:hAnsi="Arial" w:cs="Arial"/>
              </w:rPr>
            </w:pPr>
          </w:p>
        </w:tc>
      </w:tr>
      <w:tr w:rsidR="00663A10" w14:paraId="3EBC30DD" w14:textId="77777777" w:rsidTr="007975F6">
        <w:trPr>
          <w:trHeight w:val="2222"/>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5D4CA6E8" w14:textId="77777777" w:rsidR="00663A10" w:rsidRDefault="00663A10">
            <w:pPr>
              <w:pStyle w:val="TableParagraph"/>
              <w:spacing w:before="83"/>
              <w:ind w:left="540" w:right="440"/>
              <w:rPr>
                <w:rFonts w:ascii="Arial" w:hAnsi="Arial" w:cs="Arial"/>
              </w:rPr>
            </w:pPr>
            <w:r>
              <w:rPr>
                <w:rFonts w:ascii="Arial" w:hAnsi="Arial" w:cs="Arial"/>
              </w:rPr>
              <w:t>Standards shall include any requirements the agency may have regarding the requirement of the program participant to notify the agency of any change in income, stability, support circumstances that would affect the program participant’s need for assistance under the ESG program. If applicable, when notified of the relevant change, the agency shall include steps to re-evaluate the program participant’s eligibility and amount and types of assistance the program participant needs.</w:t>
            </w:r>
          </w:p>
        </w:tc>
        <w:tc>
          <w:tcPr>
            <w:tcW w:w="1715" w:type="dxa"/>
            <w:tcBorders>
              <w:top w:val="single" w:sz="4" w:space="0" w:color="000000"/>
              <w:left w:val="single" w:sz="4" w:space="0" w:color="000000"/>
              <w:bottom w:val="single" w:sz="4" w:space="0" w:color="000000"/>
              <w:right w:val="single" w:sz="4" w:space="0" w:color="000000"/>
            </w:tcBorders>
          </w:tcPr>
          <w:p w14:paraId="60ABED51" w14:textId="77777777" w:rsidR="00663A10" w:rsidRDefault="00663A10">
            <w:pPr>
              <w:pStyle w:val="TableParagraph"/>
              <w:spacing w:line="239" w:lineRule="exact"/>
              <w:ind w:left="270" w:right="440"/>
              <w:rPr>
                <w:rFonts w:ascii="Arial" w:hAnsi="Arial" w:cs="Arial"/>
              </w:rPr>
            </w:pPr>
          </w:p>
        </w:tc>
      </w:tr>
      <w:tr w:rsidR="00663A10" w14:paraId="1E1E02EA" w14:textId="77777777" w:rsidTr="007975F6">
        <w:trPr>
          <w:trHeight w:val="3167"/>
          <w:jc w:val="center"/>
        </w:trPr>
        <w:tc>
          <w:tcPr>
            <w:tcW w:w="8545" w:type="dxa"/>
            <w:tcBorders>
              <w:top w:val="single" w:sz="4" w:space="0" w:color="000000"/>
              <w:left w:val="single" w:sz="4" w:space="0" w:color="000000"/>
              <w:bottom w:val="single" w:sz="4" w:space="0" w:color="000000"/>
              <w:right w:val="single" w:sz="4" w:space="0" w:color="000000"/>
            </w:tcBorders>
            <w:vAlign w:val="center"/>
            <w:hideMark/>
          </w:tcPr>
          <w:p w14:paraId="54AB7277" w14:textId="77777777" w:rsidR="00663A10" w:rsidRDefault="00663A10">
            <w:pPr>
              <w:pStyle w:val="TableParagraph"/>
              <w:spacing w:before="83"/>
              <w:ind w:left="540" w:right="440"/>
              <w:rPr>
                <w:rFonts w:ascii="Arial" w:hAnsi="Arial" w:cs="Arial"/>
              </w:rPr>
            </w:pPr>
            <w:r>
              <w:rPr>
                <w:rFonts w:ascii="Arial" w:hAnsi="Arial" w:cs="Arial"/>
              </w:rPr>
              <w:lastRenderedPageBreak/>
              <w:t xml:space="preserve"> If the program participant receives rental assistance or housing relocation and stabilization services, the Standards shall include the formal process for terminating a program participant that includes: 1) Written notice to the program participant containing a clear statement of the reasons for termination; 2) a review of the decision, in which the participant is given the opportunity to present written or oral objections before a person other than the person who made or approved the termination decision; and 3) prompt written notice of the final decision to the program participant. Included shall be language stating that termination does not bar the program participant from receiving assistance at a later date if the issue that caused the termination is resolved.</w:t>
            </w:r>
          </w:p>
        </w:tc>
        <w:tc>
          <w:tcPr>
            <w:tcW w:w="1715" w:type="dxa"/>
            <w:tcBorders>
              <w:top w:val="single" w:sz="4" w:space="0" w:color="000000"/>
              <w:left w:val="single" w:sz="4" w:space="0" w:color="000000"/>
              <w:bottom w:val="single" w:sz="4" w:space="0" w:color="000000"/>
              <w:right w:val="single" w:sz="4" w:space="0" w:color="000000"/>
            </w:tcBorders>
          </w:tcPr>
          <w:p w14:paraId="50531373" w14:textId="77777777" w:rsidR="00663A10" w:rsidRDefault="00663A10">
            <w:pPr>
              <w:pStyle w:val="TableParagraph"/>
              <w:spacing w:line="239" w:lineRule="exact"/>
              <w:ind w:left="270" w:right="440"/>
              <w:rPr>
                <w:rFonts w:ascii="Arial" w:hAnsi="Arial" w:cs="Arial"/>
              </w:rPr>
            </w:pPr>
          </w:p>
        </w:tc>
      </w:tr>
    </w:tbl>
    <w:p w14:paraId="00628036" w14:textId="77777777" w:rsidR="00663A10" w:rsidRDefault="00663A10" w:rsidP="00663A10">
      <w:pPr>
        <w:ind w:left="270"/>
      </w:pPr>
    </w:p>
    <w:p w14:paraId="59BCB696" w14:textId="77777777" w:rsidR="00663A10" w:rsidRDefault="00663A10" w:rsidP="00663A10">
      <w:pPr>
        <w:pStyle w:val="Heading1"/>
        <w:spacing w:before="44"/>
        <w:ind w:left="270" w:right="440"/>
        <w:jc w:val="center"/>
        <w:rPr>
          <w:rFonts w:ascii="Arial" w:hAnsi="Arial" w:cs="Arial"/>
          <w:sz w:val="22"/>
          <w:szCs w:val="22"/>
        </w:rPr>
      </w:pPr>
      <w:r>
        <w:rPr>
          <w:rFonts w:ascii="Arial" w:hAnsi="Arial" w:cs="Arial"/>
          <w:sz w:val="22"/>
          <w:szCs w:val="22"/>
        </w:rPr>
        <w:t>APPENDIX B COORDINATED ENTRY POLICY COVER PAGE</w:t>
      </w:r>
    </w:p>
    <w:tbl>
      <w:tblPr>
        <w:tblW w:w="1035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0"/>
        <w:gridCol w:w="1800"/>
      </w:tblGrid>
      <w:tr w:rsidR="00663A10" w14:paraId="2CFEF6C1" w14:textId="77777777" w:rsidTr="007975F6">
        <w:trPr>
          <w:trHeight w:val="962"/>
        </w:trPr>
        <w:tc>
          <w:tcPr>
            <w:tcW w:w="85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F333D0" w14:textId="77777777" w:rsidR="00663A10" w:rsidRDefault="00663A10">
            <w:pPr>
              <w:pStyle w:val="TableParagraph"/>
              <w:spacing w:before="56"/>
              <w:ind w:left="270" w:right="440"/>
              <w:jc w:val="center"/>
              <w:rPr>
                <w:rFonts w:ascii="Arial" w:hAnsi="Arial" w:cs="Arial"/>
                <w:b/>
              </w:rPr>
            </w:pPr>
            <w:r>
              <w:rPr>
                <w:rFonts w:ascii="Arial" w:eastAsia="Times New Roman" w:hAnsi="Arial" w:cs="Arial"/>
                <w:b/>
              </w:rPr>
              <w:t>COORDINATED ENTRY POLICY REQUIREMENTS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179013" w14:textId="2AEF51BD" w:rsidR="00663A10" w:rsidRDefault="007975F6">
            <w:pPr>
              <w:pStyle w:val="TableParagraph"/>
              <w:ind w:left="270" w:right="440"/>
              <w:jc w:val="center"/>
              <w:rPr>
                <w:rFonts w:ascii="Arial" w:hAnsi="Arial" w:cs="Arial"/>
                <w:b/>
              </w:rPr>
            </w:pPr>
            <w:r>
              <w:rPr>
                <w:rFonts w:ascii="Arial" w:hAnsi="Arial" w:cs="Arial"/>
                <w:b/>
              </w:rPr>
              <w:t>Yes / No</w:t>
            </w:r>
          </w:p>
        </w:tc>
      </w:tr>
      <w:tr w:rsidR="00663A10" w14:paraId="0C3498DF" w14:textId="77777777" w:rsidTr="007975F6">
        <w:trPr>
          <w:trHeight w:val="890"/>
        </w:trPr>
        <w:tc>
          <w:tcPr>
            <w:tcW w:w="8550" w:type="dxa"/>
            <w:tcBorders>
              <w:top w:val="single" w:sz="4" w:space="0" w:color="000000"/>
              <w:left w:val="single" w:sz="4" w:space="0" w:color="000000"/>
              <w:bottom w:val="single" w:sz="4" w:space="0" w:color="000000"/>
              <w:right w:val="single" w:sz="4" w:space="0" w:color="000000"/>
            </w:tcBorders>
            <w:vAlign w:val="center"/>
            <w:hideMark/>
          </w:tcPr>
          <w:p w14:paraId="4C4D1963" w14:textId="77777777" w:rsidR="00663A10" w:rsidRDefault="00663A10">
            <w:pPr>
              <w:adjustRightInd w:val="0"/>
              <w:ind w:left="776" w:right="440"/>
              <w:rPr>
                <w:rFonts w:ascii="Arial" w:hAnsi="Arial" w:cs="Arial"/>
                <w:szCs w:val="22"/>
              </w:rPr>
            </w:pPr>
            <w:r>
              <w:rPr>
                <w:rFonts w:ascii="Arial" w:hAnsi="Arial" w:cs="Arial"/>
                <w:szCs w:val="22"/>
              </w:rPr>
              <w:t xml:space="preserve">CES covers the entire geographic area claimed by the </w:t>
            </w:r>
            <w:proofErr w:type="spellStart"/>
            <w:r>
              <w:rPr>
                <w:rFonts w:ascii="Arial" w:hAnsi="Arial" w:cs="Arial"/>
                <w:szCs w:val="22"/>
              </w:rPr>
              <w:t>CoC</w:t>
            </w:r>
            <w:proofErr w:type="spellEnd"/>
            <w:r>
              <w:rPr>
                <w:rFonts w:ascii="Arial" w:hAnsi="Arial" w:cs="Arial"/>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44D3CB8C" w14:textId="77777777" w:rsidR="00663A10" w:rsidRDefault="00663A10">
            <w:pPr>
              <w:pStyle w:val="TableParagraph"/>
              <w:ind w:left="270" w:right="440"/>
              <w:jc w:val="center"/>
              <w:rPr>
                <w:rFonts w:ascii="Arial" w:hAnsi="Arial" w:cs="Arial"/>
              </w:rPr>
            </w:pPr>
          </w:p>
        </w:tc>
      </w:tr>
      <w:tr w:rsidR="00663A10" w14:paraId="2AB29417" w14:textId="77777777" w:rsidTr="007975F6">
        <w:trPr>
          <w:trHeight w:val="1034"/>
        </w:trPr>
        <w:tc>
          <w:tcPr>
            <w:tcW w:w="8550" w:type="dxa"/>
            <w:tcBorders>
              <w:top w:val="single" w:sz="4" w:space="0" w:color="000000"/>
              <w:left w:val="single" w:sz="4" w:space="0" w:color="000000"/>
              <w:bottom w:val="single" w:sz="4" w:space="0" w:color="000000"/>
              <w:right w:val="single" w:sz="4" w:space="0" w:color="000000"/>
            </w:tcBorders>
            <w:vAlign w:val="center"/>
            <w:hideMark/>
          </w:tcPr>
          <w:p w14:paraId="58D962C6" w14:textId="77777777" w:rsidR="00663A10" w:rsidRDefault="00663A10">
            <w:pPr>
              <w:adjustRightInd w:val="0"/>
              <w:ind w:left="776" w:right="440"/>
              <w:rPr>
                <w:rFonts w:ascii="Arial" w:hAnsi="Arial" w:cs="Arial"/>
                <w:szCs w:val="22"/>
              </w:rPr>
            </w:pPr>
            <w:r>
              <w:rPr>
                <w:rFonts w:ascii="Arial" w:hAnsi="Arial" w:cs="Arial"/>
                <w:szCs w:val="22"/>
              </w:rPr>
              <w:t>CES is easily accessed by individuals and families seeking housing or services.</w:t>
            </w:r>
          </w:p>
        </w:tc>
        <w:tc>
          <w:tcPr>
            <w:tcW w:w="1800" w:type="dxa"/>
            <w:tcBorders>
              <w:top w:val="single" w:sz="4" w:space="0" w:color="000000"/>
              <w:left w:val="single" w:sz="4" w:space="0" w:color="000000"/>
              <w:bottom w:val="single" w:sz="4" w:space="0" w:color="000000"/>
              <w:right w:val="single" w:sz="4" w:space="0" w:color="000000"/>
            </w:tcBorders>
            <w:vAlign w:val="center"/>
          </w:tcPr>
          <w:p w14:paraId="26AF35E0" w14:textId="77777777" w:rsidR="00663A10" w:rsidRDefault="00663A10">
            <w:pPr>
              <w:pStyle w:val="TableParagraph"/>
              <w:ind w:left="270" w:right="440"/>
              <w:jc w:val="center"/>
              <w:rPr>
                <w:rFonts w:ascii="Arial" w:hAnsi="Arial" w:cs="Arial"/>
              </w:rPr>
            </w:pPr>
          </w:p>
        </w:tc>
      </w:tr>
      <w:tr w:rsidR="00663A10" w14:paraId="218DAF63" w14:textId="77777777" w:rsidTr="007975F6">
        <w:trPr>
          <w:trHeight w:val="818"/>
        </w:trPr>
        <w:tc>
          <w:tcPr>
            <w:tcW w:w="8550" w:type="dxa"/>
            <w:tcBorders>
              <w:top w:val="single" w:sz="4" w:space="0" w:color="000000"/>
              <w:left w:val="single" w:sz="4" w:space="0" w:color="000000"/>
              <w:bottom w:val="single" w:sz="4" w:space="0" w:color="000000"/>
              <w:right w:val="single" w:sz="4" w:space="0" w:color="000000"/>
            </w:tcBorders>
            <w:vAlign w:val="center"/>
            <w:hideMark/>
          </w:tcPr>
          <w:p w14:paraId="1FE7F54C" w14:textId="77777777" w:rsidR="00663A10" w:rsidRDefault="00663A10">
            <w:pPr>
              <w:adjustRightInd w:val="0"/>
              <w:ind w:left="776" w:right="440"/>
              <w:rPr>
                <w:rFonts w:ascii="Arial" w:hAnsi="Arial" w:cs="Arial"/>
                <w:szCs w:val="22"/>
              </w:rPr>
            </w:pPr>
            <w:r>
              <w:rPr>
                <w:rFonts w:ascii="Arial" w:hAnsi="Arial" w:cs="Arial"/>
                <w:szCs w:val="22"/>
              </w:rPr>
              <w:t>CES is well-advertised.</w:t>
            </w:r>
          </w:p>
        </w:tc>
        <w:tc>
          <w:tcPr>
            <w:tcW w:w="1800" w:type="dxa"/>
            <w:tcBorders>
              <w:top w:val="single" w:sz="4" w:space="0" w:color="000000"/>
              <w:left w:val="single" w:sz="4" w:space="0" w:color="000000"/>
              <w:bottom w:val="single" w:sz="4" w:space="0" w:color="000000"/>
              <w:right w:val="single" w:sz="4" w:space="0" w:color="000000"/>
            </w:tcBorders>
            <w:vAlign w:val="center"/>
          </w:tcPr>
          <w:p w14:paraId="20BA2E44" w14:textId="77777777" w:rsidR="00663A10" w:rsidRDefault="00663A10">
            <w:pPr>
              <w:pStyle w:val="TableParagraph"/>
              <w:ind w:left="270" w:right="440"/>
              <w:jc w:val="center"/>
              <w:rPr>
                <w:rFonts w:ascii="Arial" w:hAnsi="Arial" w:cs="Arial"/>
              </w:rPr>
            </w:pPr>
          </w:p>
        </w:tc>
      </w:tr>
      <w:tr w:rsidR="00663A10" w14:paraId="7FABD7E1" w14:textId="77777777" w:rsidTr="007975F6">
        <w:trPr>
          <w:trHeight w:val="917"/>
        </w:trPr>
        <w:tc>
          <w:tcPr>
            <w:tcW w:w="8550" w:type="dxa"/>
            <w:tcBorders>
              <w:top w:val="single" w:sz="4" w:space="0" w:color="000000"/>
              <w:left w:val="single" w:sz="4" w:space="0" w:color="000000"/>
              <w:bottom w:val="single" w:sz="4" w:space="0" w:color="000000"/>
              <w:right w:val="single" w:sz="4" w:space="0" w:color="000000"/>
            </w:tcBorders>
            <w:vAlign w:val="center"/>
            <w:hideMark/>
          </w:tcPr>
          <w:p w14:paraId="538E23C8" w14:textId="77777777" w:rsidR="00663A10" w:rsidRDefault="00663A10">
            <w:pPr>
              <w:adjustRightInd w:val="0"/>
              <w:ind w:left="776" w:right="440"/>
              <w:rPr>
                <w:rFonts w:ascii="Arial" w:hAnsi="Arial" w:cs="Arial"/>
                <w:szCs w:val="22"/>
              </w:rPr>
            </w:pPr>
            <w:r>
              <w:rPr>
                <w:rFonts w:ascii="Arial" w:hAnsi="Arial" w:cs="Arial"/>
                <w:szCs w:val="22"/>
              </w:rPr>
              <w:t>CES includes a comprehensive and standardized assessment tool(s).</w:t>
            </w:r>
          </w:p>
        </w:tc>
        <w:tc>
          <w:tcPr>
            <w:tcW w:w="1800" w:type="dxa"/>
            <w:tcBorders>
              <w:top w:val="single" w:sz="4" w:space="0" w:color="000000"/>
              <w:left w:val="single" w:sz="4" w:space="0" w:color="000000"/>
              <w:bottom w:val="single" w:sz="4" w:space="0" w:color="000000"/>
              <w:right w:val="single" w:sz="4" w:space="0" w:color="000000"/>
            </w:tcBorders>
            <w:vAlign w:val="center"/>
          </w:tcPr>
          <w:p w14:paraId="0EFFA00D" w14:textId="77777777" w:rsidR="00663A10" w:rsidRDefault="00663A10">
            <w:pPr>
              <w:pStyle w:val="TableParagraph"/>
              <w:ind w:left="270" w:right="440"/>
              <w:jc w:val="center"/>
              <w:rPr>
                <w:rFonts w:ascii="Arial" w:hAnsi="Arial" w:cs="Arial"/>
              </w:rPr>
            </w:pPr>
          </w:p>
        </w:tc>
      </w:tr>
      <w:tr w:rsidR="00663A10" w14:paraId="51C8A244" w14:textId="77777777" w:rsidTr="007975F6">
        <w:trPr>
          <w:trHeight w:val="944"/>
        </w:trPr>
        <w:tc>
          <w:tcPr>
            <w:tcW w:w="8550" w:type="dxa"/>
            <w:tcBorders>
              <w:top w:val="single" w:sz="4" w:space="0" w:color="000000"/>
              <w:left w:val="single" w:sz="4" w:space="0" w:color="000000"/>
              <w:bottom w:val="single" w:sz="4" w:space="0" w:color="000000"/>
              <w:right w:val="single" w:sz="4" w:space="0" w:color="000000"/>
            </w:tcBorders>
            <w:vAlign w:val="center"/>
            <w:hideMark/>
          </w:tcPr>
          <w:p w14:paraId="7E85C5AD" w14:textId="77777777" w:rsidR="00663A10" w:rsidRDefault="00663A10">
            <w:pPr>
              <w:adjustRightInd w:val="0"/>
              <w:ind w:left="776" w:right="440"/>
              <w:rPr>
                <w:rFonts w:ascii="Arial" w:hAnsi="Arial" w:cs="Arial"/>
                <w:szCs w:val="22"/>
              </w:rPr>
            </w:pPr>
            <w:r>
              <w:rPr>
                <w:rFonts w:ascii="Arial" w:hAnsi="Arial" w:cs="Arial"/>
                <w:szCs w:val="22"/>
              </w:rPr>
              <w:t>CES includes a comprehensive and standardized assessment tool(s).</w:t>
            </w:r>
          </w:p>
        </w:tc>
        <w:tc>
          <w:tcPr>
            <w:tcW w:w="1800" w:type="dxa"/>
            <w:tcBorders>
              <w:top w:val="single" w:sz="4" w:space="0" w:color="000000"/>
              <w:left w:val="single" w:sz="4" w:space="0" w:color="000000"/>
              <w:bottom w:val="single" w:sz="4" w:space="0" w:color="000000"/>
              <w:right w:val="single" w:sz="4" w:space="0" w:color="000000"/>
            </w:tcBorders>
            <w:vAlign w:val="center"/>
          </w:tcPr>
          <w:p w14:paraId="6CFD7043" w14:textId="77777777" w:rsidR="00663A10" w:rsidRDefault="00663A10">
            <w:pPr>
              <w:pStyle w:val="TableParagraph"/>
              <w:ind w:left="270" w:right="440"/>
              <w:jc w:val="center"/>
              <w:rPr>
                <w:rFonts w:ascii="Arial" w:hAnsi="Arial" w:cs="Arial"/>
              </w:rPr>
            </w:pPr>
          </w:p>
        </w:tc>
      </w:tr>
      <w:tr w:rsidR="00663A10" w14:paraId="47176082" w14:textId="77777777" w:rsidTr="007975F6">
        <w:trPr>
          <w:trHeight w:val="1016"/>
        </w:trPr>
        <w:tc>
          <w:tcPr>
            <w:tcW w:w="8550" w:type="dxa"/>
            <w:tcBorders>
              <w:top w:val="single" w:sz="4" w:space="0" w:color="000000"/>
              <w:left w:val="single" w:sz="4" w:space="0" w:color="000000"/>
              <w:bottom w:val="single" w:sz="4" w:space="0" w:color="000000"/>
              <w:right w:val="single" w:sz="4" w:space="0" w:color="000000"/>
            </w:tcBorders>
            <w:vAlign w:val="center"/>
            <w:hideMark/>
          </w:tcPr>
          <w:p w14:paraId="1905E226" w14:textId="77777777" w:rsidR="00663A10" w:rsidRDefault="00663A10">
            <w:pPr>
              <w:adjustRightInd w:val="0"/>
              <w:ind w:left="776" w:right="440"/>
              <w:rPr>
                <w:rFonts w:ascii="Arial" w:hAnsi="Arial" w:cs="Arial"/>
                <w:szCs w:val="22"/>
              </w:rPr>
            </w:pPr>
            <w:r>
              <w:rPr>
                <w:rFonts w:ascii="Arial" w:hAnsi="Arial" w:cs="Arial"/>
                <w:szCs w:val="22"/>
              </w:rPr>
              <w:t>CES provides an initial, comprehensive assessment of individuals and families for housing and services.</w:t>
            </w:r>
          </w:p>
        </w:tc>
        <w:tc>
          <w:tcPr>
            <w:tcW w:w="1800" w:type="dxa"/>
            <w:tcBorders>
              <w:top w:val="single" w:sz="4" w:space="0" w:color="000000"/>
              <w:left w:val="single" w:sz="4" w:space="0" w:color="000000"/>
              <w:bottom w:val="single" w:sz="4" w:space="0" w:color="000000"/>
              <w:right w:val="single" w:sz="4" w:space="0" w:color="000000"/>
            </w:tcBorders>
            <w:vAlign w:val="center"/>
          </w:tcPr>
          <w:p w14:paraId="11C17E4F" w14:textId="1D34A7E0" w:rsidR="00663A10" w:rsidRDefault="00663A10">
            <w:pPr>
              <w:pStyle w:val="TableParagraph"/>
              <w:ind w:left="270" w:right="440"/>
              <w:jc w:val="center"/>
              <w:rPr>
                <w:rFonts w:ascii="Arial" w:hAnsi="Arial" w:cs="Arial"/>
              </w:rPr>
            </w:pPr>
            <w:bookmarkStart w:id="1" w:name="_GoBack"/>
            <w:bookmarkEnd w:id="1"/>
          </w:p>
        </w:tc>
      </w:tr>
      <w:tr w:rsidR="00663A10" w14:paraId="705840AE" w14:textId="77777777" w:rsidTr="007975F6">
        <w:trPr>
          <w:trHeight w:val="1673"/>
        </w:trPr>
        <w:tc>
          <w:tcPr>
            <w:tcW w:w="8550" w:type="dxa"/>
            <w:tcBorders>
              <w:top w:val="single" w:sz="4" w:space="0" w:color="000000"/>
              <w:left w:val="single" w:sz="4" w:space="0" w:color="000000"/>
              <w:bottom w:val="single" w:sz="4" w:space="0" w:color="000000"/>
              <w:right w:val="single" w:sz="4" w:space="0" w:color="000000"/>
            </w:tcBorders>
            <w:vAlign w:val="center"/>
            <w:hideMark/>
          </w:tcPr>
          <w:p w14:paraId="66DE43D3" w14:textId="77777777" w:rsidR="00663A10" w:rsidRDefault="00663A10">
            <w:pPr>
              <w:adjustRightInd w:val="0"/>
              <w:ind w:left="776" w:right="440"/>
              <w:rPr>
                <w:rFonts w:ascii="Arial" w:hAnsi="Arial" w:cs="Arial"/>
                <w:szCs w:val="22"/>
              </w:rPr>
            </w:pPr>
            <w:r>
              <w:rPr>
                <w:rFonts w:ascii="Arial" w:hAnsi="Arial" w:cs="Arial"/>
              </w:rP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c>
          <w:tcPr>
            <w:tcW w:w="1800" w:type="dxa"/>
            <w:tcBorders>
              <w:top w:val="single" w:sz="4" w:space="0" w:color="000000"/>
              <w:left w:val="single" w:sz="4" w:space="0" w:color="000000"/>
              <w:bottom w:val="single" w:sz="4" w:space="0" w:color="000000"/>
              <w:right w:val="single" w:sz="4" w:space="0" w:color="000000"/>
            </w:tcBorders>
            <w:vAlign w:val="center"/>
          </w:tcPr>
          <w:p w14:paraId="77DCE55E" w14:textId="77777777" w:rsidR="00663A10" w:rsidRDefault="00663A10">
            <w:pPr>
              <w:pStyle w:val="TableParagraph"/>
              <w:ind w:left="270" w:right="440"/>
              <w:jc w:val="center"/>
              <w:rPr>
                <w:rFonts w:ascii="Arial" w:hAnsi="Arial" w:cs="Arial"/>
              </w:rPr>
            </w:pPr>
          </w:p>
        </w:tc>
      </w:tr>
    </w:tbl>
    <w:p w14:paraId="04B64508" w14:textId="77777777" w:rsidR="00663A10" w:rsidRDefault="00663A10" w:rsidP="00663A10">
      <w:pPr>
        <w:ind w:left="270" w:right="440"/>
        <w:rPr>
          <w:szCs w:val="22"/>
        </w:rPr>
      </w:pPr>
    </w:p>
    <w:p w14:paraId="5F82F415" w14:textId="77777777" w:rsidR="00663A10" w:rsidRDefault="00663A10" w:rsidP="00663A10">
      <w:pPr>
        <w:ind w:left="270"/>
        <w:rPr>
          <w:rFonts w:ascii="Arial" w:hAnsi="Arial" w:cs="Arial"/>
          <w:b/>
          <w:bCs/>
          <w:color w:val="2F5496" w:themeColor="accent5" w:themeShade="BF"/>
          <w:kern w:val="32"/>
          <w:szCs w:val="22"/>
        </w:rPr>
      </w:pPr>
      <w:r>
        <w:rPr>
          <w:rFonts w:ascii="Arial" w:hAnsi="Arial" w:cs="Arial"/>
          <w:b/>
          <w:bCs/>
          <w:color w:val="2F5496" w:themeColor="accent5" w:themeShade="BF"/>
          <w:kern w:val="32"/>
          <w:szCs w:val="22"/>
        </w:rPr>
        <w:br w:type="page"/>
      </w:r>
    </w:p>
    <w:p w14:paraId="3DDAC1F7" w14:textId="77777777" w:rsidR="00663A10" w:rsidRDefault="00663A10" w:rsidP="00663A10">
      <w:pPr>
        <w:ind w:left="270"/>
      </w:pPr>
    </w:p>
    <w:p w14:paraId="0C4FEFA2" w14:textId="77777777" w:rsidR="00663A10" w:rsidRDefault="00663A10" w:rsidP="00663A10">
      <w:pPr>
        <w:ind w:left="270"/>
      </w:pPr>
    </w:p>
    <w:p w14:paraId="71A8D797" w14:textId="77777777" w:rsidR="00663A10" w:rsidRDefault="00663A10" w:rsidP="00663A10">
      <w:pPr>
        <w:pStyle w:val="Heading1"/>
        <w:spacing w:before="44"/>
        <w:ind w:left="270" w:right="440"/>
        <w:jc w:val="center"/>
        <w:rPr>
          <w:rFonts w:ascii="Arial" w:hAnsi="Arial" w:cs="Arial"/>
          <w:sz w:val="22"/>
          <w:szCs w:val="22"/>
        </w:rPr>
      </w:pPr>
      <w:r>
        <w:rPr>
          <w:rFonts w:ascii="Arial" w:hAnsi="Arial" w:cs="Arial"/>
          <w:sz w:val="22"/>
          <w:szCs w:val="22"/>
        </w:rPr>
        <w:t>APPENDIX C VAWA EMERGENCY TRANSFER PLAN COVER PAGE</w:t>
      </w:r>
    </w:p>
    <w:tbl>
      <w:tblPr>
        <w:tblW w:w="1014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1"/>
        <w:gridCol w:w="2159"/>
      </w:tblGrid>
      <w:tr w:rsidR="00663A10" w14:paraId="20D0440C" w14:textId="77777777" w:rsidTr="007975F6">
        <w:trPr>
          <w:trHeight w:val="1106"/>
        </w:trPr>
        <w:tc>
          <w:tcPr>
            <w:tcW w:w="7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F8A9F7" w14:textId="77777777" w:rsidR="00663A10" w:rsidRDefault="00663A10">
            <w:pPr>
              <w:pStyle w:val="TableParagraph"/>
              <w:spacing w:before="56"/>
              <w:ind w:left="270" w:right="440"/>
              <w:jc w:val="center"/>
              <w:rPr>
                <w:rFonts w:ascii="Arial" w:hAnsi="Arial" w:cs="Arial"/>
              </w:rPr>
            </w:pPr>
            <w:r>
              <w:rPr>
                <w:rFonts w:ascii="Arial" w:eastAsia="Times New Roman" w:hAnsi="Arial" w:cs="Arial"/>
                <w:b/>
              </w:rPr>
              <w:t>EMERGENCY TRANSFER PLAN REQUIREMENTS</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9D4798" w14:textId="4E100B69" w:rsidR="00663A10" w:rsidRDefault="007975F6">
            <w:pPr>
              <w:pStyle w:val="TableParagraph"/>
              <w:ind w:left="270" w:right="440"/>
              <w:jc w:val="center"/>
              <w:rPr>
                <w:rFonts w:ascii="Arial" w:hAnsi="Arial" w:cs="Arial"/>
                <w:b/>
                <w:bCs/>
              </w:rPr>
            </w:pPr>
            <w:r>
              <w:rPr>
                <w:rFonts w:ascii="Arial" w:hAnsi="Arial" w:cs="Arial"/>
                <w:b/>
                <w:bCs/>
              </w:rPr>
              <w:t>Yes / No</w:t>
            </w:r>
          </w:p>
        </w:tc>
      </w:tr>
      <w:tr w:rsidR="00663A10" w14:paraId="31D8C3B1" w14:textId="77777777" w:rsidTr="007975F6">
        <w:trPr>
          <w:trHeight w:val="557"/>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70CF522E" w14:textId="77777777" w:rsidR="00663A10" w:rsidRDefault="00663A10">
            <w:pPr>
              <w:adjustRightInd w:val="0"/>
              <w:ind w:left="776" w:right="440"/>
              <w:rPr>
                <w:rFonts w:ascii="Arial" w:hAnsi="Arial" w:cs="Arial"/>
                <w:szCs w:val="22"/>
              </w:rPr>
            </w:pPr>
            <w:r>
              <w:rPr>
                <w:rFonts w:ascii="Arial" w:hAnsi="Arial" w:cs="Arial"/>
                <w:szCs w:val="22"/>
              </w:rPr>
              <w:t>Definition of Internal Emergency Transfer</w:t>
            </w:r>
          </w:p>
        </w:tc>
        <w:tc>
          <w:tcPr>
            <w:tcW w:w="2159" w:type="dxa"/>
            <w:tcBorders>
              <w:top w:val="single" w:sz="4" w:space="0" w:color="000000"/>
              <w:left w:val="single" w:sz="4" w:space="0" w:color="000000"/>
              <w:bottom w:val="single" w:sz="4" w:space="0" w:color="000000"/>
              <w:right w:val="single" w:sz="4" w:space="0" w:color="000000"/>
            </w:tcBorders>
            <w:vAlign w:val="center"/>
          </w:tcPr>
          <w:p w14:paraId="5C909609" w14:textId="77777777" w:rsidR="00663A10" w:rsidRDefault="00663A10">
            <w:pPr>
              <w:pStyle w:val="TableParagraph"/>
              <w:ind w:left="270" w:right="440"/>
              <w:rPr>
                <w:rFonts w:ascii="Arial" w:hAnsi="Arial" w:cs="Arial"/>
              </w:rPr>
            </w:pPr>
          </w:p>
        </w:tc>
      </w:tr>
      <w:tr w:rsidR="00663A10" w14:paraId="15C84370" w14:textId="77777777" w:rsidTr="007975F6">
        <w:trPr>
          <w:trHeight w:val="593"/>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63D830C5" w14:textId="77777777" w:rsidR="00663A10" w:rsidRDefault="00663A10">
            <w:pPr>
              <w:adjustRightInd w:val="0"/>
              <w:ind w:left="776" w:right="440"/>
              <w:rPr>
                <w:rFonts w:ascii="Arial" w:hAnsi="Arial" w:cs="Arial"/>
                <w:szCs w:val="22"/>
              </w:rPr>
            </w:pPr>
            <w:r>
              <w:rPr>
                <w:rFonts w:ascii="Arial" w:hAnsi="Arial" w:cs="Arial"/>
                <w:szCs w:val="22"/>
              </w:rPr>
              <w:t>Definition of External Emergency Transfer</w:t>
            </w:r>
          </w:p>
        </w:tc>
        <w:tc>
          <w:tcPr>
            <w:tcW w:w="2159" w:type="dxa"/>
            <w:tcBorders>
              <w:top w:val="single" w:sz="4" w:space="0" w:color="000000"/>
              <w:left w:val="single" w:sz="4" w:space="0" w:color="000000"/>
              <w:bottom w:val="single" w:sz="4" w:space="0" w:color="000000"/>
              <w:right w:val="single" w:sz="4" w:space="0" w:color="000000"/>
            </w:tcBorders>
            <w:vAlign w:val="center"/>
          </w:tcPr>
          <w:p w14:paraId="77D3DCBD" w14:textId="77777777" w:rsidR="00663A10" w:rsidRDefault="00663A10">
            <w:pPr>
              <w:pStyle w:val="TableParagraph"/>
              <w:ind w:left="270" w:right="440"/>
              <w:rPr>
                <w:rFonts w:ascii="Arial" w:hAnsi="Arial" w:cs="Arial"/>
              </w:rPr>
            </w:pPr>
          </w:p>
        </w:tc>
      </w:tr>
      <w:tr w:rsidR="00663A10" w14:paraId="29893A49" w14:textId="77777777" w:rsidTr="007975F6">
        <w:trPr>
          <w:trHeight w:val="449"/>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3ECFCE12" w14:textId="77777777" w:rsidR="00663A10" w:rsidRDefault="00663A10">
            <w:pPr>
              <w:adjustRightInd w:val="0"/>
              <w:ind w:left="776" w:right="440"/>
              <w:rPr>
                <w:rFonts w:ascii="Arial" w:hAnsi="Arial" w:cs="Arial"/>
                <w:szCs w:val="22"/>
              </w:rPr>
            </w:pPr>
            <w:r>
              <w:rPr>
                <w:rFonts w:ascii="Arial" w:hAnsi="Arial" w:cs="Arial"/>
                <w:szCs w:val="22"/>
              </w:rPr>
              <w:t>Definition of Safe Unit</w:t>
            </w:r>
          </w:p>
        </w:tc>
        <w:tc>
          <w:tcPr>
            <w:tcW w:w="2159" w:type="dxa"/>
            <w:tcBorders>
              <w:top w:val="single" w:sz="4" w:space="0" w:color="000000"/>
              <w:left w:val="single" w:sz="4" w:space="0" w:color="000000"/>
              <w:bottom w:val="single" w:sz="4" w:space="0" w:color="000000"/>
              <w:right w:val="single" w:sz="4" w:space="0" w:color="000000"/>
            </w:tcBorders>
            <w:vAlign w:val="center"/>
          </w:tcPr>
          <w:p w14:paraId="45214CB9" w14:textId="77777777" w:rsidR="00663A10" w:rsidRDefault="00663A10">
            <w:pPr>
              <w:pStyle w:val="TableParagraph"/>
              <w:ind w:left="270" w:right="440"/>
              <w:rPr>
                <w:rFonts w:ascii="Arial" w:hAnsi="Arial" w:cs="Arial"/>
              </w:rPr>
            </w:pPr>
          </w:p>
        </w:tc>
      </w:tr>
      <w:tr w:rsidR="00663A10" w14:paraId="4FD6F796" w14:textId="77777777" w:rsidTr="007975F6">
        <w:trPr>
          <w:trHeight w:val="4832"/>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108DDDA3" w14:textId="77777777" w:rsidR="00663A10" w:rsidRDefault="00663A10">
            <w:pPr>
              <w:adjustRightInd w:val="0"/>
              <w:ind w:left="776" w:right="440"/>
              <w:rPr>
                <w:rFonts w:ascii="Arial" w:hAnsi="Arial" w:cs="Arial"/>
                <w:szCs w:val="22"/>
              </w:rPr>
            </w:pPr>
            <w:r>
              <w:rPr>
                <w:rFonts w:ascii="Arial" w:hAnsi="Arial" w:cs="Arial"/>
                <w:szCs w:val="22"/>
              </w:rPr>
              <w:t xml:space="preserve">A tenant receiving rental assistance through, or residing in a unit subsidized under, a covered housing program who is a victim of domestic violence, dating violence, sexual assault, or stalking qualifies for an emergency transfer if: </w:t>
            </w:r>
          </w:p>
          <w:p w14:paraId="2D7C64E6"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The tenant expressly requests the transfer; and</w:t>
            </w:r>
          </w:p>
          <w:p w14:paraId="18378541"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The tenant reasonably believes there is a threat of imminent harm from further violence if the tenant remains within the same dwelling unit that the tenant is currently occupying; or</w:t>
            </w:r>
          </w:p>
          <w:p w14:paraId="24FFBCD9"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tc>
        <w:tc>
          <w:tcPr>
            <w:tcW w:w="2159" w:type="dxa"/>
            <w:tcBorders>
              <w:top w:val="single" w:sz="4" w:space="0" w:color="000000"/>
              <w:left w:val="single" w:sz="4" w:space="0" w:color="000000"/>
              <w:bottom w:val="single" w:sz="4" w:space="0" w:color="000000"/>
              <w:right w:val="single" w:sz="4" w:space="0" w:color="000000"/>
            </w:tcBorders>
            <w:vAlign w:val="center"/>
          </w:tcPr>
          <w:p w14:paraId="01FC8716" w14:textId="77777777" w:rsidR="00663A10" w:rsidRDefault="00663A10">
            <w:pPr>
              <w:pStyle w:val="TableParagraph"/>
              <w:ind w:left="270" w:right="440"/>
              <w:rPr>
                <w:rFonts w:ascii="Arial" w:hAnsi="Arial" w:cs="Arial"/>
              </w:rPr>
            </w:pPr>
          </w:p>
        </w:tc>
      </w:tr>
      <w:tr w:rsidR="00663A10" w14:paraId="57371E1D" w14:textId="77777777" w:rsidTr="007975F6">
        <w:trPr>
          <w:trHeight w:val="2240"/>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04E50FDD" w14:textId="77777777" w:rsidR="00663A10" w:rsidRDefault="00663A10">
            <w:pPr>
              <w:adjustRightInd w:val="0"/>
              <w:ind w:left="776" w:right="440"/>
              <w:rPr>
                <w:rFonts w:ascii="Arial" w:hAnsi="Arial" w:cs="Arial"/>
                <w:szCs w:val="22"/>
              </w:rPr>
            </w:pPr>
            <w:r>
              <w:rPr>
                <w:rFonts w:ascii="Arial" w:hAnsi="Arial" w:cs="Arial"/>
                <w:szCs w:val="22"/>
              </w:rPr>
              <w:t xml:space="preserve">The plan must detail the measure of any priority given to tenants who qualify for an emergency transfer under VAWA in relation to other categories of tenants seeking transfers and individuals seeking placement on waiting lists. </w:t>
            </w:r>
          </w:p>
          <w:p w14:paraId="629E37A6"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Tenant Selection Plans (TSPs) should be amended to include any VAWA preference (this does not require HUD approval).</w:t>
            </w:r>
          </w:p>
        </w:tc>
        <w:tc>
          <w:tcPr>
            <w:tcW w:w="2159" w:type="dxa"/>
            <w:tcBorders>
              <w:top w:val="single" w:sz="4" w:space="0" w:color="000000"/>
              <w:left w:val="single" w:sz="4" w:space="0" w:color="000000"/>
              <w:bottom w:val="single" w:sz="4" w:space="0" w:color="000000"/>
              <w:right w:val="single" w:sz="4" w:space="0" w:color="000000"/>
            </w:tcBorders>
            <w:vAlign w:val="center"/>
          </w:tcPr>
          <w:p w14:paraId="6AC9B524" w14:textId="77777777" w:rsidR="00663A10" w:rsidRDefault="00663A10">
            <w:pPr>
              <w:pStyle w:val="TableParagraph"/>
              <w:ind w:left="270" w:right="440"/>
              <w:rPr>
                <w:rFonts w:ascii="Arial" w:hAnsi="Arial" w:cs="Arial"/>
              </w:rPr>
            </w:pPr>
          </w:p>
        </w:tc>
      </w:tr>
      <w:tr w:rsidR="00663A10" w14:paraId="7EBB4B61" w14:textId="77777777" w:rsidTr="007975F6">
        <w:trPr>
          <w:trHeight w:val="638"/>
        </w:trPr>
        <w:tc>
          <w:tcPr>
            <w:tcW w:w="7981" w:type="dxa"/>
            <w:tcBorders>
              <w:top w:val="single" w:sz="4" w:space="0" w:color="000000"/>
              <w:left w:val="single" w:sz="4" w:space="0" w:color="000000"/>
              <w:bottom w:val="single" w:sz="4" w:space="0" w:color="000000"/>
              <w:right w:val="single" w:sz="4" w:space="0" w:color="000000"/>
            </w:tcBorders>
            <w:vAlign w:val="center"/>
          </w:tcPr>
          <w:p w14:paraId="788B1812" w14:textId="77777777" w:rsidR="00663A10" w:rsidRDefault="00663A10">
            <w:pPr>
              <w:adjustRightInd w:val="0"/>
              <w:ind w:left="776" w:right="440"/>
              <w:rPr>
                <w:rFonts w:ascii="Arial" w:hAnsi="Arial" w:cs="Arial"/>
                <w:szCs w:val="22"/>
              </w:rPr>
            </w:pPr>
          </w:p>
          <w:p w14:paraId="0B276D11" w14:textId="77777777" w:rsidR="00663A10" w:rsidRDefault="00663A10">
            <w:pPr>
              <w:adjustRightInd w:val="0"/>
              <w:ind w:left="776" w:right="440"/>
              <w:rPr>
                <w:rFonts w:ascii="Arial" w:hAnsi="Arial" w:cs="Arial"/>
                <w:szCs w:val="22"/>
              </w:rPr>
            </w:pPr>
            <w:r>
              <w:rPr>
                <w:rFonts w:ascii="Arial" w:hAnsi="Arial" w:cs="Arial"/>
                <w:szCs w:val="22"/>
              </w:rPr>
              <w:t>The plan must incorporate strict confidentiality measures to ensure that the housing provider does not disclose the location of the dwelling unit of the tenant to a person who committed or threatened to commit an act of domestic violence, dating violence, sexual assault, or stalking against the tenant.</w:t>
            </w:r>
          </w:p>
          <w:p w14:paraId="028FE8D7" w14:textId="77777777" w:rsidR="00663A10" w:rsidRDefault="00663A10">
            <w:pPr>
              <w:adjustRightInd w:val="0"/>
              <w:ind w:left="776" w:right="440"/>
              <w:rPr>
                <w:rFonts w:ascii="Arial" w:hAnsi="Arial" w:cs="Arial"/>
                <w:szCs w:val="22"/>
              </w:rPr>
            </w:pPr>
          </w:p>
        </w:tc>
        <w:tc>
          <w:tcPr>
            <w:tcW w:w="2159" w:type="dxa"/>
            <w:tcBorders>
              <w:top w:val="single" w:sz="4" w:space="0" w:color="000000"/>
              <w:left w:val="single" w:sz="4" w:space="0" w:color="000000"/>
              <w:bottom w:val="single" w:sz="4" w:space="0" w:color="000000"/>
              <w:right w:val="single" w:sz="4" w:space="0" w:color="000000"/>
            </w:tcBorders>
            <w:vAlign w:val="center"/>
          </w:tcPr>
          <w:p w14:paraId="65E43467" w14:textId="77777777" w:rsidR="00663A10" w:rsidRDefault="00663A10">
            <w:pPr>
              <w:pStyle w:val="TableParagraph"/>
              <w:ind w:left="270" w:right="440"/>
              <w:rPr>
                <w:rFonts w:ascii="Arial" w:hAnsi="Arial" w:cs="Arial"/>
              </w:rPr>
            </w:pPr>
          </w:p>
        </w:tc>
      </w:tr>
      <w:tr w:rsidR="00663A10" w14:paraId="3FC763DF" w14:textId="77777777" w:rsidTr="007975F6">
        <w:trPr>
          <w:trHeight w:val="2690"/>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7247B1A9" w14:textId="77777777" w:rsidR="00663A10" w:rsidRDefault="00663A10">
            <w:pPr>
              <w:adjustRightInd w:val="0"/>
              <w:ind w:left="776" w:right="440"/>
              <w:rPr>
                <w:rFonts w:ascii="Arial" w:hAnsi="Arial" w:cs="Arial"/>
                <w:szCs w:val="22"/>
              </w:rPr>
            </w:pPr>
            <w:r>
              <w:rPr>
                <w:rFonts w:ascii="Arial" w:hAnsi="Arial" w:cs="Arial"/>
                <w:szCs w:val="22"/>
              </w:rPr>
              <w:lastRenderedPageBreak/>
              <w:t xml:space="preserve">The plan must allow a tenant to make an internal emergency transfer under VAWA when a safe unit is immediately available. </w:t>
            </w:r>
          </w:p>
          <w:p w14:paraId="4377901D" w14:textId="77777777" w:rsidR="00663A10" w:rsidRDefault="00663A10">
            <w:pPr>
              <w:pStyle w:val="ListParagraph"/>
              <w:adjustRightInd w:val="0"/>
              <w:ind w:left="776" w:right="440"/>
              <w:rPr>
                <w:rFonts w:ascii="Arial" w:hAnsi="Arial" w:cs="Arial"/>
                <w:szCs w:val="22"/>
              </w:rPr>
            </w:pPr>
            <w:r>
              <w:rPr>
                <w:rFonts w:ascii="Arial" w:hAnsi="Arial" w:cs="Arial"/>
                <w:szCs w:val="22"/>
              </w:rPr>
              <w:t>The plan should define the term “immediately available.” For example, “a vacant unit, ready for move-in with a reasonable period of time.”</w:t>
            </w:r>
          </w:p>
          <w:p w14:paraId="5CE07BC7"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Include time frames, possible internal transfer locations, and priority status relative to other tenants seeking an internal transfer.</w:t>
            </w:r>
          </w:p>
        </w:tc>
        <w:tc>
          <w:tcPr>
            <w:tcW w:w="2159" w:type="dxa"/>
            <w:tcBorders>
              <w:top w:val="single" w:sz="4" w:space="0" w:color="000000"/>
              <w:left w:val="single" w:sz="4" w:space="0" w:color="000000"/>
              <w:bottom w:val="single" w:sz="4" w:space="0" w:color="000000"/>
              <w:right w:val="single" w:sz="4" w:space="0" w:color="000000"/>
            </w:tcBorders>
            <w:vAlign w:val="center"/>
          </w:tcPr>
          <w:p w14:paraId="2AF979EE" w14:textId="77777777" w:rsidR="00663A10" w:rsidRDefault="00663A10">
            <w:pPr>
              <w:pStyle w:val="TableParagraph"/>
              <w:ind w:left="270" w:right="440"/>
              <w:rPr>
                <w:rFonts w:ascii="Arial" w:hAnsi="Arial" w:cs="Arial"/>
              </w:rPr>
            </w:pPr>
          </w:p>
        </w:tc>
      </w:tr>
      <w:tr w:rsidR="00663A10" w14:paraId="530C281D" w14:textId="77777777" w:rsidTr="007975F6">
        <w:trPr>
          <w:trHeight w:val="2591"/>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5F4F35A1" w14:textId="77777777" w:rsidR="00663A10" w:rsidRDefault="00663A10">
            <w:pPr>
              <w:adjustRightInd w:val="0"/>
              <w:ind w:left="776" w:right="440"/>
              <w:rPr>
                <w:rFonts w:ascii="Arial" w:hAnsi="Arial" w:cs="Arial"/>
                <w:szCs w:val="22"/>
              </w:rPr>
            </w:pPr>
            <w:r>
              <w:rPr>
                <w:rFonts w:ascii="Arial" w:hAnsi="Arial" w:cs="Arial"/>
                <w:szCs w:val="22"/>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tc>
        <w:tc>
          <w:tcPr>
            <w:tcW w:w="2159" w:type="dxa"/>
            <w:tcBorders>
              <w:top w:val="single" w:sz="4" w:space="0" w:color="000000"/>
              <w:left w:val="single" w:sz="4" w:space="0" w:color="000000"/>
              <w:bottom w:val="single" w:sz="4" w:space="0" w:color="000000"/>
              <w:right w:val="single" w:sz="4" w:space="0" w:color="000000"/>
            </w:tcBorders>
            <w:vAlign w:val="center"/>
          </w:tcPr>
          <w:p w14:paraId="7CC95699" w14:textId="77777777" w:rsidR="00663A10" w:rsidRDefault="00663A10">
            <w:pPr>
              <w:pStyle w:val="TableParagraph"/>
              <w:ind w:left="270" w:right="440"/>
              <w:rPr>
                <w:rFonts w:ascii="Arial" w:hAnsi="Arial" w:cs="Arial"/>
              </w:rPr>
            </w:pPr>
          </w:p>
        </w:tc>
      </w:tr>
      <w:tr w:rsidR="00663A10" w14:paraId="2D15116A" w14:textId="77777777" w:rsidTr="007975F6">
        <w:trPr>
          <w:trHeight w:val="4580"/>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146BB62E" w14:textId="77777777" w:rsidR="00663A10" w:rsidRDefault="00663A10">
            <w:pPr>
              <w:adjustRightInd w:val="0"/>
              <w:ind w:left="776" w:right="440"/>
              <w:rPr>
                <w:rFonts w:ascii="Arial" w:hAnsi="Arial" w:cs="Arial"/>
                <w:szCs w:val="22"/>
              </w:rPr>
            </w:pPr>
            <w:r>
              <w:rPr>
                <w:rFonts w:ascii="Arial" w:hAnsi="Arial" w:cs="Arial"/>
                <w:szCs w:val="22"/>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0338CDCB"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Arrangements, including memoranda of understanding, with other housing providers to facilitate moves (such documents should be attached to the plan); and</w:t>
            </w:r>
          </w:p>
          <w:p w14:paraId="353B985F"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Outreach activities to organizations that assist or provide resources to victims of domestic violence, dating violence, sexual assault, or stalking.</w:t>
            </w:r>
          </w:p>
        </w:tc>
        <w:tc>
          <w:tcPr>
            <w:tcW w:w="2159" w:type="dxa"/>
            <w:tcBorders>
              <w:top w:val="single" w:sz="4" w:space="0" w:color="000000"/>
              <w:left w:val="single" w:sz="4" w:space="0" w:color="000000"/>
              <w:bottom w:val="single" w:sz="4" w:space="0" w:color="000000"/>
              <w:right w:val="single" w:sz="4" w:space="0" w:color="000000"/>
            </w:tcBorders>
            <w:vAlign w:val="center"/>
          </w:tcPr>
          <w:p w14:paraId="4A51541F" w14:textId="77777777" w:rsidR="00663A10" w:rsidRDefault="00663A10">
            <w:pPr>
              <w:pStyle w:val="TableParagraph"/>
              <w:ind w:left="270" w:right="440"/>
              <w:rPr>
                <w:rFonts w:ascii="Arial" w:hAnsi="Arial" w:cs="Arial"/>
              </w:rPr>
            </w:pPr>
          </w:p>
        </w:tc>
      </w:tr>
      <w:tr w:rsidR="00663A10" w14:paraId="5E6071D6" w14:textId="77777777" w:rsidTr="007975F6">
        <w:trPr>
          <w:trHeight w:val="1448"/>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1C49D56B" w14:textId="77777777" w:rsidR="00663A10" w:rsidRDefault="00663A10">
            <w:pPr>
              <w:adjustRightInd w:val="0"/>
              <w:ind w:left="776" w:right="440"/>
              <w:rPr>
                <w:rFonts w:ascii="Arial" w:hAnsi="Arial" w:cs="Arial"/>
                <w:szCs w:val="22"/>
              </w:rPr>
            </w:pPr>
            <w:r>
              <w:rPr>
                <w:rFonts w:ascii="Arial" w:hAnsi="Arial" w:cs="Arial"/>
                <w:szCs w:val="22"/>
              </w:rPr>
              <w:t>Nothing may preclude a tenant from seeking an internal emergency transfer and an external emergency transfer concurrently if a safe unit is not immediately available. It is recommended that this policy be clearly stated in the plan.</w:t>
            </w:r>
          </w:p>
        </w:tc>
        <w:tc>
          <w:tcPr>
            <w:tcW w:w="2159" w:type="dxa"/>
            <w:tcBorders>
              <w:top w:val="single" w:sz="4" w:space="0" w:color="000000"/>
              <w:left w:val="single" w:sz="4" w:space="0" w:color="000000"/>
              <w:bottom w:val="single" w:sz="4" w:space="0" w:color="000000"/>
              <w:right w:val="single" w:sz="4" w:space="0" w:color="000000"/>
            </w:tcBorders>
            <w:vAlign w:val="center"/>
          </w:tcPr>
          <w:p w14:paraId="578D2F67" w14:textId="77777777" w:rsidR="00663A10" w:rsidRDefault="00663A10">
            <w:pPr>
              <w:pStyle w:val="TableParagraph"/>
              <w:ind w:left="270" w:right="440"/>
              <w:rPr>
                <w:rFonts w:ascii="Arial" w:hAnsi="Arial" w:cs="Arial"/>
              </w:rPr>
            </w:pPr>
          </w:p>
        </w:tc>
      </w:tr>
      <w:tr w:rsidR="00663A10" w14:paraId="4E62D349" w14:textId="77777777" w:rsidTr="007975F6">
        <w:trPr>
          <w:trHeight w:val="1673"/>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34FBFC67" w14:textId="77777777" w:rsidR="00663A10" w:rsidRDefault="00663A10">
            <w:pPr>
              <w:adjustRightInd w:val="0"/>
              <w:ind w:left="776" w:right="440"/>
              <w:rPr>
                <w:rFonts w:ascii="Arial" w:hAnsi="Arial" w:cs="Arial"/>
                <w:szCs w:val="22"/>
              </w:rPr>
            </w:pPr>
            <w:r>
              <w:rPr>
                <w:rFonts w:ascii="Arial" w:hAnsi="Arial" w:cs="Arial"/>
                <w:szCs w:val="22"/>
              </w:rPr>
              <w:t>The plan should state that a request does not guarantee continued assistance or an external transfer to other HUD housing.</w:t>
            </w:r>
          </w:p>
        </w:tc>
        <w:tc>
          <w:tcPr>
            <w:tcW w:w="2159" w:type="dxa"/>
            <w:tcBorders>
              <w:top w:val="single" w:sz="4" w:space="0" w:color="000000"/>
              <w:left w:val="single" w:sz="4" w:space="0" w:color="000000"/>
              <w:bottom w:val="single" w:sz="4" w:space="0" w:color="000000"/>
              <w:right w:val="single" w:sz="4" w:space="0" w:color="000000"/>
            </w:tcBorders>
            <w:vAlign w:val="center"/>
          </w:tcPr>
          <w:p w14:paraId="420ED735" w14:textId="77777777" w:rsidR="00663A10" w:rsidRDefault="00663A10">
            <w:pPr>
              <w:pStyle w:val="TableParagraph"/>
              <w:ind w:left="270" w:right="440"/>
              <w:rPr>
                <w:rFonts w:ascii="Arial" w:hAnsi="Arial" w:cs="Arial"/>
              </w:rPr>
            </w:pPr>
          </w:p>
        </w:tc>
      </w:tr>
      <w:tr w:rsidR="00663A10" w14:paraId="78F2A6AC" w14:textId="77777777" w:rsidTr="007975F6">
        <w:trPr>
          <w:trHeight w:val="1790"/>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405078DA" w14:textId="77777777" w:rsidR="00663A10" w:rsidRDefault="00663A10">
            <w:pPr>
              <w:adjustRightInd w:val="0"/>
              <w:ind w:left="776" w:right="440"/>
              <w:rPr>
                <w:rFonts w:ascii="Arial" w:hAnsi="Arial" w:cs="Arial"/>
                <w:szCs w:val="22"/>
              </w:rPr>
            </w:pPr>
            <w:r>
              <w:rPr>
                <w:rFonts w:ascii="Arial" w:hAnsi="Arial" w:cs="Arial"/>
                <w:szCs w:val="22"/>
              </w:rPr>
              <w:lastRenderedPageBreak/>
              <w:t xml:space="preserve">Where applicable, the plan must describe policies for a tenant who has tenant-based rental assistance (e.g., voucher) and who meets the requirements of #1 above to move quickly with that assistance. </w:t>
            </w:r>
          </w:p>
          <w:p w14:paraId="6A391B29" w14:textId="77777777" w:rsidR="00663A10" w:rsidRDefault="00663A10">
            <w:pPr>
              <w:adjustRightInd w:val="0"/>
              <w:ind w:left="776" w:right="440"/>
              <w:rPr>
                <w:rFonts w:ascii="Arial" w:hAnsi="Arial" w:cs="Arial"/>
                <w:szCs w:val="22"/>
              </w:rPr>
            </w:pPr>
            <w:r>
              <w:rPr>
                <w:rFonts w:ascii="Arial" w:hAnsi="Arial" w:cs="Arial"/>
                <w:szCs w:val="22"/>
              </w:rPr>
              <w:t>Housing providers should coordinate with local providers of the tenant-based assistance (e.g., local PHA).</w:t>
            </w:r>
          </w:p>
        </w:tc>
        <w:tc>
          <w:tcPr>
            <w:tcW w:w="2159" w:type="dxa"/>
            <w:tcBorders>
              <w:top w:val="single" w:sz="4" w:space="0" w:color="000000"/>
              <w:left w:val="single" w:sz="4" w:space="0" w:color="000000"/>
              <w:bottom w:val="single" w:sz="4" w:space="0" w:color="000000"/>
              <w:right w:val="single" w:sz="4" w:space="0" w:color="000000"/>
            </w:tcBorders>
            <w:vAlign w:val="center"/>
          </w:tcPr>
          <w:p w14:paraId="2BD3D72D" w14:textId="77777777" w:rsidR="00663A10" w:rsidRDefault="00663A10">
            <w:pPr>
              <w:pStyle w:val="TableParagraph"/>
              <w:ind w:left="270" w:right="440"/>
              <w:rPr>
                <w:rFonts w:ascii="Arial" w:hAnsi="Arial" w:cs="Arial"/>
              </w:rPr>
            </w:pPr>
          </w:p>
        </w:tc>
      </w:tr>
      <w:tr w:rsidR="00663A10" w14:paraId="41250582" w14:textId="77777777" w:rsidTr="007975F6">
        <w:trPr>
          <w:trHeight w:val="5471"/>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0FF0FFB6" w14:textId="77777777" w:rsidR="00663A10" w:rsidRDefault="00663A10">
            <w:pPr>
              <w:adjustRightInd w:val="0"/>
              <w:ind w:left="776" w:right="440"/>
              <w:rPr>
                <w:rFonts w:ascii="Arial" w:hAnsi="Arial" w:cs="Arial"/>
                <w:szCs w:val="22"/>
              </w:rPr>
            </w:pPr>
            <w:r>
              <w:rPr>
                <w:rFonts w:ascii="Arial" w:hAnsi="Arial" w:cs="Arial"/>
                <w:szCs w:val="22"/>
              </w:rPr>
              <w:t xml:space="preserve">The plan may require documentation from a tenant seeking an emergency transfer, provided that: </w:t>
            </w:r>
          </w:p>
          <w:p w14:paraId="2B8E99E6"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The tenant’s submission of a written request to the housing provider, where the tenant certifies that they meet the eligibility requirements to request a VAWA transfer, shall be sufficient documentation of the requirements necessary to request an emergency transfer;</w:t>
            </w:r>
          </w:p>
          <w:p w14:paraId="18B2C98D"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1DEAD428" w14:textId="77777777" w:rsidR="00663A10" w:rsidRDefault="00663A10" w:rsidP="00663A10">
            <w:pPr>
              <w:pStyle w:val="ListParagraph"/>
              <w:numPr>
                <w:ilvl w:val="0"/>
                <w:numId w:val="36"/>
              </w:numPr>
              <w:spacing w:line="276" w:lineRule="auto"/>
              <w:ind w:left="1316" w:right="920"/>
              <w:rPr>
                <w:rFonts w:ascii="Arial" w:hAnsi="Arial" w:cs="Arial"/>
                <w:szCs w:val="22"/>
              </w:rPr>
            </w:pPr>
            <w:r>
              <w:rPr>
                <w:rFonts w:ascii="Arial" w:hAnsi="Arial" w:cs="Arial"/>
                <w:szCs w:val="22"/>
              </w:rPr>
              <w:t>No other documentation is required to qualify the tenant for an emergency transfer.</w:t>
            </w:r>
          </w:p>
        </w:tc>
        <w:tc>
          <w:tcPr>
            <w:tcW w:w="2159" w:type="dxa"/>
            <w:tcBorders>
              <w:top w:val="single" w:sz="4" w:space="0" w:color="000000"/>
              <w:left w:val="single" w:sz="4" w:space="0" w:color="000000"/>
              <w:bottom w:val="single" w:sz="4" w:space="0" w:color="000000"/>
              <w:right w:val="single" w:sz="4" w:space="0" w:color="000000"/>
            </w:tcBorders>
            <w:vAlign w:val="center"/>
          </w:tcPr>
          <w:p w14:paraId="54D9C345" w14:textId="77777777" w:rsidR="00663A10" w:rsidRDefault="00663A10">
            <w:pPr>
              <w:pStyle w:val="TableParagraph"/>
              <w:ind w:left="270" w:right="440"/>
              <w:rPr>
                <w:rFonts w:ascii="Arial" w:hAnsi="Arial" w:cs="Arial"/>
              </w:rPr>
            </w:pPr>
          </w:p>
        </w:tc>
      </w:tr>
      <w:tr w:rsidR="00663A10" w14:paraId="04C19CA6" w14:textId="77777777" w:rsidTr="007975F6">
        <w:trPr>
          <w:trHeight w:val="1448"/>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44512517" w14:textId="77777777" w:rsidR="00663A10" w:rsidRDefault="00663A10">
            <w:pPr>
              <w:adjustRightInd w:val="0"/>
              <w:ind w:left="776" w:right="440"/>
              <w:rPr>
                <w:rFonts w:ascii="Arial" w:hAnsi="Arial" w:cs="Arial"/>
                <w:szCs w:val="22"/>
              </w:rPr>
            </w:pPr>
            <w:r>
              <w:rPr>
                <w:rFonts w:ascii="Arial" w:hAnsi="Arial" w:cs="Arial"/>
                <w:szCs w:val="22"/>
              </w:rPr>
              <w:t>The housing provider must make its emergency transfer plan available upon request and, when feasible, must make the plan publicly available.</w:t>
            </w:r>
          </w:p>
        </w:tc>
        <w:tc>
          <w:tcPr>
            <w:tcW w:w="2159" w:type="dxa"/>
            <w:tcBorders>
              <w:top w:val="single" w:sz="4" w:space="0" w:color="000000"/>
              <w:left w:val="single" w:sz="4" w:space="0" w:color="000000"/>
              <w:bottom w:val="single" w:sz="4" w:space="0" w:color="000000"/>
              <w:right w:val="single" w:sz="4" w:space="0" w:color="000000"/>
            </w:tcBorders>
            <w:vAlign w:val="center"/>
          </w:tcPr>
          <w:p w14:paraId="7808CD87" w14:textId="77777777" w:rsidR="00663A10" w:rsidRDefault="00663A10">
            <w:pPr>
              <w:pStyle w:val="TableParagraph"/>
              <w:ind w:left="270" w:right="440"/>
              <w:rPr>
                <w:rFonts w:ascii="Arial" w:hAnsi="Arial" w:cs="Arial"/>
              </w:rPr>
            </w:pPr>
          </w:p>
        </w:tc>
      </w:tr>
      <w:tr w:rsidR="00663A10" w14:paraId="37CD48F6" w14:textId="77777777" w:rsidTr="007975F6">
        <w:trPr>
          <w:trHeight w:val="1673"/>
        </w:trPr>
        <w:tc>
          <w:tcPr>
            <w:tcW w:w="7981" w:type="dxa"/>
            <w:tcBorders>
              <w:top w:val="single" w:sz="4" w:space="0" w:color="000000"/>
              <w:left w:val="single" w:sz="4" w:space="0" w:color="000000"/>
              <w:bottom w:val="single" w:sz="4" w:space="0" w:color="000000"/>
              <w:right w:val="single" w:sz="4" w:space="0" w:color="000000"/>
            </w:tcBorders>
            <w:vAlign w:val="center"/>
            <w:hideMark/>
          </w:tcPr>
          <w:p w14:paraId="12A32F4D" w14:textId="77777777" w:rsidR="00663A10" w:rsidRDefault="00663A10">
            <w:pPr>
              <w:adjustRightInd w:val="0"/>
              <w:ind w:left="776" w:right="440"/>
              <w:rPr>
                <w:rFonts w:ascii="Arial" w:hAnsi="Arial" w:cs="Arial"/>
                <w:szCs w:val="22"/>
              </w:rPr>
            </w:pPr>
            <w:r>
              <w:rPr>
                <w:rFonts w:ascii="Arial" w:hAnsi="Arial" w:cs="Arial"/>
                <w:szCs w:val="22"/>
              </w:rPr>
              <w:t>The housing provider must keep a record of all emergency transfers requested under its plan, and the outcomes of such requests, and retain these records for a period of three years, or for a time period as specified in program regulations. Requests and outcomes of such requests must be reported to HUD annually.</w:t>
            </w:r>
          </w:p>
        </w:tc>
        <w:tc>
          <w:tcPr>
            <w:tcW w:w="2159" w:type="dxa"/>
            <w:tcBorders>
              <w:top w:val="single" w:sz="4" w:space="0" w:color="000000"/>
              <w:left w:val="single" w:sz="4" w:space="0" w:color="000000"/>
              <w:bottom w:val="single" w:sz="4" w:space="0" w:color="000000"/>
              <w:right w:val="single" w:sz="4" w:space="0" w:color="000000"/>
            </w:tcBorders>
            <w:vAlign w:val="center"/>
          </w:tcPr>
          <w:p w14:paraId="195A49C8" w14:textId="77777777" w:rsidR="00663A10" w:rsidRDefault="00663A10">
            <w:pPr>
              <w:pStyle w:val="TableParagraph"/>
              <w:ind w:left="270" w:right="440"/>
              <w:rPr>
                <w:rFonts w:ascii="Arial" w:hAnsi="Arial" w:cs="Arial"/>
              </w:rPr>
            </w:pPr>
          </w:p>
        </w:tc>
      </w:tr>
    </w:tbl>
    <w:p w14:paraId="5974CDE6" w14:textId="77777777" w:rsidR="00663A10" w:rsidRDefault="00663A10" w:rsidP="00663A10">
      <w:pPr>
        <w:pStyle w:val="BodyText"/>
        <w:spacing w:before="82" w:line="276" w:lineRule="auto"/>
        <w:ind w:left="270" w:right="940"/>
        <w:jc w:val="both"/>
        <w:rPr>
          <w:rFonts w:ascii="Calibri" w:hAnsi="Calibri" w:cs="Calibri"/>
        </w:rPr>
      </w:pPr>
    </w:p>
    <w:p w14:paraId="710BC3CC" w14:textId="77777777" w:rsidR="00663A10" w:rsidRDefault="00663A10" w:rsidP="00663A10">
      <w:pPr>
        <w:pStyle w:val="ListParagraph"/>
        <w:spacing w:line="276" w:lineRule="auto"/>
        <w:ind w:left="270" w:right="920"/>
        <w:jc w:val="both"/>
        <w:rPr>
          <w:rFonts w:cstheme="minorHAnsi"/>
        </w:rPr>
      </w:pPr>
      <w:r>
        <w:rPr>
          <w:rFonts w:cstheme="minorHAnsi"/>
        </w:rPr>
        <w:t>.</w:t>
      </w:r>
    </w:p>
    <w:p w14:paraId="6B6361BE" w14:textId="77777777" w:rsidR="00663A10" w:rsidRDefault="00663A10" w:rsidP="00663A10">
      <w:pPr>
        <w:ind w:left="270" w:right="440"/>
        <w:rPr>
          <w:rFonts w:ascii="Arial" w:hAnsi="Arial" w:cs="Arial"/>
          <w:b/>
          <w:bCs/>
          <w:color w:val="2F5496" w:themeColor="accent5" w:themeShade="BF"/>
          <w:kern w:val="32"/>
          <w:szCs w:val="22"/>
        </w:rPr>
      </w:pPr>
    </w:p>
    <w:p w14:paraId="0CF82E27" w14:textId="77777777" w:rsidR="00663A10" w:rsidRPr="0011405E" w:rsidRDefault="00663A10" w:rsidP="00663A10">
      <w:pPr>
        <w:rPr>
          <w:rFonts w:ascii="Calibri" w:hAnsi="Calibri" w:cs="Arial"/>
          <w:b/>
          <w:i/>
        </w:rPr>
      </w:pPr>
    </w:p>
    <w:sectPr w:rsidR="00663A10" w:rsidRPr="0011405E" w:rsidSect="00663A10">
      <w:footerReference w:type="default" r:id="rId8"/>
      <w:pgSz w:w="12240" w:h="15840"/>
      <w:pgMar w:top="400" w:right="500" w:bottom="480" w:left="500" w:header="72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69096" w14:textId="77777777" w:rsidR="004C1E35" w:rsidRDefault="004C1E35">
      <w:r>
        <w:separator/>
      </w:r>
    </w:p>
  </w:endnote>
  <w:endnote w:type="continuationSeparator" w:id="0">
    <w:p w14:paraId="687A7B95" w14:textId="77777777" w:rsidR="004C1E35" w:rsidRDefault="004C1E35">
      <w:r>
        <w:continuationSeparator/>
      </w:r>
    </w:p>
  </w:endnote>
  <w:endnote w:type="continuationNotice" w:id="1">
    <w:p w14:paraId="6BB4AFD7" w14:textId="77777777" w:rsidR="004C1E35" w:rsidRDefault="004C1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D7FF" w14:textId="5B7F71BD" w:rsidR="00E069A8" w:rsidRPr="00C27BB7" w:rsidRDefault="00E069A8" w:rsidP="00C27BB7">
    <w:pPr>
      <w:pStyle w:val="Footer"/>
      <w:rPr>
        <w:color w:val="7F7F7F" w:themeColor="text1" w:themeTint="80"/>
        <w:sz w:val="20"/>
      </w:rPr>
    </w:pPr>
    <w:r w:rsidRPr="00C27BB7">
      <w:rPr>
        <w:color w:val="7F7F7F" w:themeColor="text1" w:themeTint="80"/>
        <w:sz w:val="20"/>
      </w:rPr>
      <w:t>FY1</w:t>
    </w:r>
    <w:r w:rsidR="007975F6">
      <w:rPr>
        <w:color w:val="7F7F7F" w:themeColor="text1" w:themeTint="80"/>
        <w:sz w:val="20"/>
      </w:rPr>
      <w:t>9</w:t>
    </w:r>
    <w:r w:rsidRPr="00C27BB7">
      <w:rPr>
        <w:color w:val="7F7F7F" w:themeColor="text1" w:themeTint="80"/>
        <w:sz w:val="20"/>
      </w:rPr>
      <w:t xml:space="preserve"> NC ESG </w:t>
    </w:r>
    <w:r>
      <w:rPr>
        <w:color w:val="7F7F7F" w:themeColor="text1" w:themeTint="80"/>
        <w:sz w:val="20"/>
      </w:rPr>
      <w:t>Regional</w:t>
    </w:r>
    <w:r w:rsidRPr="00C27BB7">
      <w:rPr>
        <w:color w:val="7F7F7F" w:themeColor="text1" w:themeTint="80"/>
        <w:sz w:val="20"/>
      </w:rPr>
      <w:t xml:space="preserve"> Application </w:t>
    </w:r>
    <w:r w:rsidR="007975F6">
      <w:rPr>
        <w:color w:val="7F7F7F" w:themeColor="text1" w:themeTint="80"/>
        <w:sz w:val="20"/>
      </w:rPr>
      <w:t>Review Tool</w:t>
    </w:r>
    <w:r w:rsidRPr="00C27BB7">
      <w:rPr>
        <w:color w:val="7F7F7F" w:themeColor="text1" w:themeTint="80"/>
        <w:sz w:val="20"/>
      </w:rPr>
      <w:ptab w:relativeTo="margin" w:alignment="center" w:leader="none"/>
    </w:r>
    <w:r w:rsidRPr="00C27BB7">
      <w:rPr>
        <w:color w:val="7F7F7F" w:themeColor="text1" w:themeTint="80"/>
        <w:sz w:val="20"/>
      </w:rPr>
      <w:ptab w:relativeTo="margin" w:alignment="right" w:leader="none"/>
    </w:r>
    <w:r w:rsidRPr="00C27BB7">
      <w:rPr>
        <w:color w:val="7F7F7F" w:themeColor="text1" w:themeTint="80"/>
        <w:sz w:val="20"/>
      </w:rPr>
      <w:fldChar w:fldCharType="begin"/>
    </w:r>
    <w:r w:rsidRPr="00C27BB7">
      <w:rPr>
        <w:color w:val="7F7F7F" w:themeColor="text1" w:themeTint="80"/>
        <w:sz w:val="20"/>
      </w:rPr>
      <w:instrText xml:space="preserve"> PAGE  \* Arabic  \* MERGEFORMAT </w:instrText>
    </w:r>
    <w:r w:rsidRPr="00C27BB7">
      <w:rPr>
        <w:color w:val="7F7F7F" w:themeColor="text1" w:themeTint="80"/>
        <w:sz w:val="20"/>
      </w:rPr>
      <w:fldChar w:fldCharType="separate"/>
    </w:r>
    <w:r>
      <w:rPr>
        <w:noProof/>
        <w:color w:val="7F7F7F" w:themeColor="text1" w:themeTint="80"/>
        <w:sz w:val="20"/>
      </w:rPr>
      <w:t>11</w:t>
    </w:r>
    <w:r w:rsidRPr="00C27BB7">
      <w:rPr>
        <w:color w:val="7F7F7F" w:themeColor="text1" w:themeTint="80"/>
        <w:sz w:val="20"/>
      </w:rPr>
      <w:fldChar w:fldCharType="end"/>
    </w:r>
  </w:p>
  <w:p w14:paraId="523AF9BA" w14:textId="77777777" w:rsidR="00E069A8" w:rsidRDefault="00E069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FF15B" w14:textId="77777777" w:rsidR="004C1E35" w:rsidRDefault="004C1E35">
      <w:r>
        <w:separator/>
      </w:r>
    </w:p>
  </w:footnote>
  <w:footnote w:type="continuationSeparator" w:id="0">
    <w:p w14:paraId="3340A5F8" w14:textId="77777777" w:rsidR="004C1E35" w:rsidRDefault="004C1E35">
      <w:r>
        <w:continuationSeparator/>
      </w:r>
    </w:p>
  </w:footnote>
  <w:footnote w:type="continuationNotice" w:id="1">
    <w:p w14:paraId="7AB98DFE" w14:textId="77777777" w:rsidR="004C1E35" w:rsidRDefault="004C1E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D9A"/>
    <w:multiLevelType w:val="multilevel"/>
    <w:tmpl w:val="DFCAC632"/>
    <w:lvl w:ilvl="0">
      <w:start w:val="11"/>
      <w:numFmt w:val="decimal"/>
      <w:lvlText w:val="%1."/>
      <w:lvlJc w:val="left"/>
      <w:pPr>
        <w:ind w:left="61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E76CD"/>
    <w:multiLevelType w:val="multilevel"/>
    <w:tmpl w:val="E51E312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EE6C83"/>
    <w:multiLevelType w:val="hybridMultilevel"/>
    <w:tmpl w:val="E342F9B6"/>
    <w:lvl w:ilvl="0" w:tplc="D512B17E">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58E1C71"/>
    <w:multiLevelType w:val="multilevel"/>
    <w:tmpl w:val="B6A0B7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C10B8"/>
    <w:multiLevelType w:val="multilevel"/>
    <w:tmpl w:val="2F4256C4"/>
    <w:lvl w:ilvl="0">
      <w:start w:val="14"/>
      <w:numFmt w:val="decimal"/>
      <w:lvlText w:val="%1"/>
      <w:lvlJc w:val="left"/>
      <w:pPr>
        <w:ind w:left="375" w:hanging="375"/>
      </w:pPr>
      <w:rPr>
        <w:rFonts w:ascii="Calibri" w:hAnsi="Calibri" w:cs="Calibri" w:hint="default"/>
      </w:rPr>
    </w:lvl>
    <w:lvl w:ilvl="1">
      <w:start w:val="1"/>
      <w:numFmt w:val="decimal"/>
      <w:lvlText w:val="%1.%2"/>
      <w:lvlJc w:val="left"/>
      <w:pPr>
        <w:ind w:left="375" w:hanging="375"/>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5" w15:restartNumberingAfterBreak="0">
    <w:nsid w:val="1BD91C63"/>
    <w:multiLevelType w:val="hybridMultilevel"/>
    <w:tmpl w:val="8D18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F52D03"/>
    <w:multiLevelType w:val="multilevel"/>
    <w:tmpl w:val="F50C9736"/>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B47C2B"/>
    <w:multiLevelType w:val="multilevel"/>
    <w:tmpl w:val="983A6B4C"/>
    <w:lvl w:ilvl="0">
      <w:start w:val="12"/>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2A8744FB"/>
    <w:multiLevelType w:val="multilevel"/>
    <w:tmpl w:val="F0D26C0C"/>
    <w:lvl w:ilvl="0">
      <w:start w:val="5"/>
      <w:numFmt w:val="decimal"/>
      <w:lvlText w:val="%1"/>
      <w:lvlJc w:val="left"/>
      <w:pPr>
        <w:ind w:left="360" w:hanging="360"/>
      </w:pPr>
      <w:rPr>
        <w:rFonts w:hint="default"/>
        <w:i/>
        <w:sz w:val="20"/>
      </w:rPr>
    </w:lvl>
    <w:lvl w:ilvl="1">
      <w:start w:val="1"/>
      <w:numFmt w:val="decimal"/>
      <w:lvlText w:val="%1.%2"/>
      <w:lvlJc w:val="left"/>
      <w:pPr>
        <w:ind w:left="720" w:hanging="36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440" w:hanging="1440"/>
      </w:pPr>
      <w:rPr>
        <w:rFonts w:hint="default"/>
        <w:i/>
        <w:sz w:val="20"/>
      </w:rPr>
    </w:lvl>
  </w:abstractNum>
  <w:abstractNum w:abstractNumId="9" w15:restartNumberingAfterBreak="0">
    <w:nsid w:val="2CA1509E"/>
    <w:multiLevelType w:val="multilevel"/>
    <w:tmpl w:val="EB54AAD8"/>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3FA3D48"/>
    <w:multiLevelType w:val="multilevel"/>
    <w:tmpl w:val="4888021A"/>
    <w:lvl w:ilvl="0">
      <w:start w:val="12"/>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3706168E"/>
    <w:multiLevelType w:val="multilevel"/>
    <w:tmpl w:val="158C0A52"/>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4F51D5C"/>
    <w:multiLevelType w:val="multilevel"/>
    <w:tmpl w:val="622EFDD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43059A"/>
    <w:multiLevelType w:val="multilevel"/>
    <w:tmpl w:val="27647C70"/>
    <w:lvl w:ilvl="0">
      <w:start w:val="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4CED58D8"/>
    <w:multiLevelType w:val="multilevel"/>
    <w:tmpl w:val="44ACEC0C"/>
    <w:lvl w:ilvl="0">
      <w:start w:val="5"/>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5" w15:restartNumberingAfterBreak="0">
    <w:nsid w:val="51B55010"/>
    <w:multiLevelType w:val="hybridMultilevel"/>
    <w:tmpl w:val="95EE39B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9F37F4"/>
    <w:multiLevelType w:val="multilevel"/>
    <w:tmpl w:val="942CEDD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3CF7B03"/>
    <w:multiLevelType w:val="multilevel"/>
    <w:tmpl w:val="064498A0"/>
    <w:lvl w:ilvl="0">
      <w:start w:val="7"/>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8" w15:restartNumberingAfterBreak="0">
    <w:nsid w:val="54ED5FF7"/>
    <w:multiLevelType w:val="multilevel"/>
    <w:tmpl w:val="88F224D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2A72D1"/>
    <w:multiLevelType w:val="multilevel"/>
    <w:tmpl w:val="6DCC943E"/>
    <w:lvl w:ilvl="0">
      <w:start w:val="1"/>
      <w:numFmt w:val="decimal"/>
      <w:lvlText w:val="%1."/>
      <w:lvlJc w:val="left"/>
      <w:pPr>
        <w:ind w:left="360" w:hanging="360"/>
      </w:pPr>
      <w:rPr>
        <w:rFonts w:hint="default"/>
        <w:sz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14D80"/>
    <w:multiLevelType w:val="multilevel"/>
    <w:tmpl w:val="688A0B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D079D9"/>
    <w:multiLevelType w:val="multilevel"/>
    <w:tmpl w:val="7EC8349C"/>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3F1EAB"/>
    <w:multiLevelType w:val="multilevel"/>
    <w:tmpl w:val="56FC70C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9DC1BAF"/>
    <w:multiLevelType w:val="multilevel"/>
    <w:tmpl w:val="5FE8C6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0D79F6"/>
    <w:multiLevelType w:val="multilevel"/>
    <w:tmpl w:val="6E4E025A"/>
    <w:lvl w:ilvl="0">
      <w:start w:val="1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5" w15:restartNumberingAfterBreak="0">
    <w:nsid w:val="5A570B9A"/>
    <w:multiLevelType w:val="multilevel"/>
    <w:tmpl w:val="983A6B4C"/>
    <w:lvl w:ilvl="0">
      <w:start w:val="12"/>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B692260"/>
    <w:multiLevelType w:val="multilevel"/>
    <w:tmpl w:val="2916A5B4"/>
    <w:lvl w:ilvl="0">
      <w:start w:val="1"/>
      <w:numFmt w:val="decimal"/>
      <w:lvlText w:val="%1."/>
      <w:lvlJc w:val="left"/>
      <w:pPr>
        <w:ind w:left="720" w:hanging="360"/>
      </w:pPr>
      <w:rPr>
        <w:rFonts w:hint="default"/>
        <w:sz w:val="2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D4869C9"/>
    <w:multiLevelType w:val="hybridMultilevel"/>
    <w:tmpl w:val="A7388762"/>
    <w:lvl w:ilvl="0" w:tplc="30384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E00BCA"/>
    <w:multiLevelType w:val="multilevel"/>
    <w:tmpl w:val="622EFDD8"/>
    <w:lvl w:ilvl="0">
      <w:start w:val="13"/>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DB08A4"/>
    <w:multiLevelType w:val="multilevel"/>
    <w:tmpl w:val="622EFDD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5B09F0"/>
    <w:multiLevelType w:val="multilevel"/>
    <w:tmpl w:val="FA728EAA"/>
    <w:lvl w:ilvl="0">
      <w:start w:val="9"/>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31" w15:restartNumberingAfterBreak="0">
    <w:nsid w:val="66DD740A"/>
    <w:multiLevelType w:val="multilevel"/>
    <w:tmpl w:val="D60C1CB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A834CF"/>
    <w:multiLevelType w:val="multilevel"/>
    <w:tmpl w:val="61683D0A"/>
    <w:lvl w:ilvl="0">
      <w:start w:val="16"/>
      <w:numFmt w:val="decimal"/>
      <w:lvlText w:val="%1"/>
      <w:lvlJc w:val="left"/>
      <w:pPr>
        <w:ind w:left="375" w:hanging="375"/>
      </w:pPr>
      <w:rPr>
        <w:rFonts w:hint="default"/>
        <w:i/>
        <w:sz w:val="22"/>
      </w:rPr>
    </w:lvl>
    <w:lvl w:ilvl="1">
      <w:start w:val="1"/>
      <w:numFmt w:val="decimal"/>
      <w:lvlText w:val="%1.%2"/>
      <w:lvlJc w:val="left"/>
      <w:pPr>
        <w:ind w:left="375" w:hanging="375"/>
      </w:pPr>
      <w:rPr>
        <w:rFonts w:hint="default"/>
        <w:i/>
        <w:sz w:val="22"/>
      </w:rPr>
    </w:lvl>
    <w:lvl w:ilvl="2">
      <w:start w:val="1"/>
      <w:numFmt w:val="decimal"/>
      <w:lvlText w:val="%1.%2.%3"/>
      <w:lvlJc w:val="left"/>
      <w:pPr>
        <w:ind w:left="375" w:hanging="375"/>
      </w:pPr>
      <w:rPr>
        <w:rFonts w:hint="default"/>
        <w:i/>
        <w:sz w:val="22"/>
      </w:rPr>
    </w:lvl>
    <w:lvl w:ilvl="3">
      <w:start w:val="1"/>
      <w:numFmt w:val="decimal"/>
      <w:lvlText w:val="%1.%2.%3.%4"/>
      <w:lvlJc w:val="left"/>
      <w:pPr>
        <w:ind w:left="375" w:hanging="375"/>
      </w:pPr>
      <w:rPr>
        <w:rFonts w:hint="default"/>
        <w:i/>
        <w:sz w:val="22"/>
      </w:rPr>
    </w:lvl>
    <w:lvl w:ilvl="4">
      <w:start w:val="1"/>
      <w:numFmt w:val="decimal"/>
      <w:lvlText w:val="%1.%2.%3.%4.%5"/>
      <w:lvlJc w:val="left"/>
      <w:pPr>
        <w:ind w:left="720" w:hanging="720"/>
      </w:pPr>
      <w:rPr>
        <w:rFonts w:hint="default"/>
        <w:i/>
        <w:sz w:val="22"/>
      </w:rPr>
    </w:lvl>
    <w:lvl w:ilvl="5">
      <w:start w:val="1"/>
      <w:numFmt w:val="decimal"/>
      <w:lvlText w:val="%1.%2.%3.%4.%5.%6"/>
      <w:lvlJc w:val="left"/>
      <w:pPr>
        <w:ind w:left="720" w:hanging="720"/>
      </w:pPr>
      <w:rPr>
        <w:rFonts w:hint="default"/>
        <w:i/>
        <w:sz w:val="22"/>
      </w:rPr>
    </w:lvl>
    <w:lvl w:ilvl="6">
      <w:start w:val="1"/>
      <w:numFmt w:val="decimal"/>
      <w:lvlText w:val="%1.%2.%3.%4.%5.%6.%7"/>
      <w:lvlJc w:val="left"/>
      <w:pPr>
        <w:ind w:left="720" w:hanging="720"/>
      </w:pPr>
      <w:rPr>
        <w:rFonts w:hint="default"/>
        <w:i/>
        <w:sz w:val="22"/>
      </w:rPr>
    </w:lvl>
    <w:lvl w:ilvl="7">
      <w:start w:val="1"/>
      <w:numFmt w:val="decimal"/>
      <w:lvlText w:val="%1.%2.%3.%4.%5.%6.%7.%8"/>
      <w:lvlJc w:val="left"/>
      <w:pPr>
        <w:ind w:left="720" w:hanging="720"/>
      </w:pPr>
      <w:rPr>
        <w:rFonts w:hint="default"/>
        <w:i/>
        <w:sz w:val="22"/>
      </w:rPr>
    </w:lvl>
    <w:lvl w:ilvl="8">
      <w:start w:val="1"/>
      <w:numFmt w:val="decimal"/>
      <w:lvlText w:val="%1.%2.%3.%4.%5.%6.%7.%8.%9"/>
      <w:lvlJc w:val="left"/>
      <w:pPr>
        <w:ind w:left="1080" w:hanging="1080"/>
      </w:pPr>
      <w:rPr>
        <w:rFonts w:hint="default"/>
        <w:i/>
        <w:sz w:val="22"/>
      </w:rPr>
    </w:lvl>
  </w:abstractNum>
  <w:abstractNum w:abstractNumId="33" w15:restartNumberingAfterBreak="0">
    <w:nsid w:val="6A8B2478"/>
    <w:multiLevelType w:val="multilevel"/>
    <w:tmpl w:val="7E643AA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6C75F4"/>
    <w:multiLevelType w:val="hybridMultilevel"/>
    <w:tmpl w:val="662E6160"/>
    <w:lvl w:ilvl="0" w:tplc="2B5241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A2ECB"/>
    <w:multiLevelType w:val="hybridMultilevel"/>
    <w:tmpl w:val="ABF6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81BA9"/>
    <w:multiLevelType w:val="multilevel"/>
    <w:tmpl w:val="C9FECC8C"/>
    <w:lvl w:ilvl="0">
      <w:start w:val="1"/>
      <w:numFmt w:val="decimal"/>
      <w:lvlText w:val="%1."/>
      <w:lvlJc w:val="left"/>
      <w:pPr>
        <w:ind w:left="720" w:hanging="360"/>
      </w:pPr>
      <w:rPr>
        <w:rFonts w:hint="default"/>
        <w:sz w:val="20"/>
      </w:rPr>
    </w:lvl>
    <w:lvl w:ilvl="1">
      <w:start w:val="1"/>
      <w:numFmt w:val="decimal"/>
      <w:isLgl/>
      <w:lvlText w:val="%1.%2"/>
      <w:lvlJc w:val="left"/>
      <w:pPr>
        <w:ind w:left="735" w:hanging="375"/>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36"/>
  </w:num>
  <w:num w:numId="3">
    <w:abstractNumId w:val="20"/>
  </w:num>
  <w:num w:numId="4">
    <w:abstractNumId w:val="8"/>
  </w:num>
  <w:num w:numId="5">
    <w:abstractNumId w:val="18"/>
  </w:num>
  <w:num w:numId="6">
    <w:abstractNumId w:val="16"/>
  </w:num>
  <w:num w:numId="7">
    <w:abstractNumId w:val="17"/>
  </w:num>
  <w:num w:numId="8">
    <w:abstractNumId w:val="30"/>
  </w:num>
  <w:num w:numId="9">
    <w:abstractNumId w:val="12"/>
  </w:num>
  <w:num w:numId="10">
    <w:abstractNumId w:val="28"/>
  </w:num>
  <w:num w:numId="11">
    <w:abstractNumId w:val="29"/>
  </w:num>
  <w:num w:numId="12">
    <w:abstractNumId w:val="32"/>
  </w:num>
  <w:num w:numId="13">
    <w:abstractNumId w:val="31"/>
  </w:num>
  <w:num w:numId="14">
    <w:abstractNumId w:val="10"/>
  </w:num>
  <w:num w:numId="15">
    <w:abstractNumId w:val="25"/>
  </w:num>
  <w:num w:numId="16">
    <w:abstractNumId w:val="7"/>
  </w:num>
  <w:num w:numId="17">
    <w:abstractNumId w:val="1"/>
  </w:num>
  <w:num w:numId="18">
    <w:abstractNumId w:val="4"/>
  </w:num>
  <w:num w:numId="19">
    <w:abstractNumId w:val="26"/>
  </w:num>
  <w:num w:numId="20">
    <w:abstractNumId w:val="15"/>
  </w:num>
  <w:num w:numId="21">
    <w:abstractNumId w:val="14"/>
  </w:num>
  <w:num w:numId="22">
    <w:abstractNumId w:val="27"/>
  </w:num>
  <w:num w:numId="23">
    <w:abstractNumId w:val="9"/>
  </w:num>
  <w:num w:numId="24">
    <w:abstractNumId w:val="13"/>
  </w:num>
  <w:num w:numId="25">
    <w:abstractNumId w:val="22"/>
  </w:num>
  <w:num w:numId="26">
    <w:abstractNumId w:val="3"/>
  </w:num>
  <w:num w:numId="27">
    <w:abstractNumId w:val="23"/>
  </w:num>
  <w:num w:numId="28">
    <w:abstractNumId w:val="21"/>
  </w:num>
  <w:num w:numId="29">
    <w:abstractNumId w:val="11"/>
  </w:num>
  <w:num w:numId="30">
    <w:abstractNumId w:val="0"/>
  </w:num>
  <w:num w:numId="31">
    <w:abstractNumId w:val="6"/>
  </w:num>
  <w:num w:numId="32">
    <w:abstractNumId w:val="33"/>
  </w:num>
  <w:num w:numId="33">
    <w:abstractNumId w:val="24"/>
  </w:num>
  <w:num w:numId="34">
    <w:abstractNumId w:val="2"/>
  </w:num>
  <w:num w:numId="35">
    <w:abstractNumId w:val="5"/>
  </w:num>
  <w:num w:numId="36">
    <w:abstractNumId w:val="15"/>
    <w:lvlOverride w:ilvl="0"/>
    <w:lvlOverride w:ilvl="1"/>
    <w:lvlOverride w:ilvl="2"/>
    <w:lvlOverride w:ilvl="3"/>
    <w:lvlOverride w:ilvl="4"/>
    <w:lvlOverride w:ilvl="5"/>
    <w:lvlOverride w:ilvl="6"/>
    <w:lvlOverride w:ilvl="7"/>
    <w:lvlOverride w:ilvl="8"/>
  </w:num>
  <w:num w:numId="37">
    <w:abstractNumId w:val="35"/>
  </w:num>
  <w:num w:numId="38">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A2"/>
    <w:rsid w:val="00004FBD"/>
    <w:rsid w:val="00007576"/>
    <w:rsid w:val="00016243"/>
    <w:rsid w:val="0003326D"/>
    <w:rsid w:val="0005034D"/>
    <w:rsid w:val="00062ADA"/>
    <w:rsid w:val="00065A5E"/>
    <w:rsid w:val="000739AF"/>
    <w:rsid w:val="00077CAA"/>
    <w:rsid w:val="00085427"/>
    <w:rsid w:val="00085EEE"/>
    <w:rsid w:val="00092360"/>
    <w:rsid w:val="00093634"/>
    <w:rsid w:val="000A20DF"/>
    <w:rsid w:val="000C4D29"/>
    <w:rsid w:val="000D203F"/>
    <w:rsid w:val="000D39E5"/>
    <w:rsid w:val="000D5665"/>
    <w:rsid w:val="000D7C7C"/>
    <w:rsid w:val="000F2607"/>
    <w:rsid w:val="000F5EF5"/>
    <w:rsid w:val="00101653"/>
    <w:rsid w:val="0010275D"/>
    <w:rsid w:val="0011405E"/>
    <w:rsid w:val="001224E4"/>
    <w:rsid w:val="0012346E"/>
    <w:rsid w:val="00126E90"/>
    <w:rsid w:val="00132522"/>
    <w:rsid w:val="001454C1"/>
    <w:rsid w:val="00147412"/>
    <w:rsid w:val="00150F23"/>
    <w:rsid w:val="0015735E"/>
    <w:rsid w:val="00160B98"/>
    <w:rsid w:val="001610C1"/>
    <w:rsid w:val="0016497E"/>
    <w:rsid w:val="00165BAF"/>
    <w:rsid w:val="001669FB"/>
    <w:rsid w:val="00166C32"/>
    <w:rsid w:val="0018014E"/>
    <w:rsid w:val="00194CF1"/>
    <w:rsid w:val="00197468"/>
    <w:rsid w:val="001A005C"/>
    <w:rsid w:val="001B1719"/>
    <w:rsid w:val="001B4613"/>
    <w:rsid w:val="001B4761"/>
    <w:rsid w:val="001D2EB6"/>
    <w:rsid w:val="001D6E1F"/>
    <w:rsid w:val="001F4074"/>
    <w:rsid w:val="002034E6"/>
    <w:rsid w:val="002038D0"/>
    <w:rsid w:val="002118CD"/>
    <w:rsid w:val="00214373"/>
    <w:rsid w:val="00217C98"/>
    <w:rsid w:val="002249F5"/>
    <w:rsid w:val="00225B40"/>
    <w:rsid w:val="002262EA"/>
    <w:rsid w:val="00234720"/>
    <w:rsid w:val="00237098"/>
    <w:rsid w:val="00241602"/>
    <w:rsid w:val="00242A68"/>
    <w:rsid w:val="0025276A"/>
    <w:rsid w:val="00265B6B"/>
    <w:rsid w:val="00265E8B"/>
    <w:rsid w:val="00270A6E"/>
    <w:rsid w:val="00287740"/>
    <w:rsid w:val="002904BA"/>
    <w:rsid w:val="002A1484"/>
    <w:rsid w:val="002B186C"/>
    <w:rsid w:val="002C5A02"/>
    <w:rsid w:val="002C5B48"/>
    <w:rsid w:val="002D3C09"/>
    <w:rsid w:val="002D425E"/>
    <w:rsid w:val="002D66F1"/>
    <w:rsid w:val="002D7466"/>
    <w:rsid w:val="002E3078"/>
    <w:rsid w:val="002E3B50"/>
    <w:rsid w:val="002E62FA"/>
    <w:rsid w:val="002F2964"/>
    <w:rsid w:val="002F4854"/>
    <w:rsid w:val="002F7620"/>
    <w:rsid w:val="003006F5"/>
    <w:rsid w:val="003010DD"/>
    <w:rsid w:val="00306E9F"/>
    <w:rsid w:val="003070C6"/>
    <w:rsid w:val="00316468"/>
    <w:rsid w:val="003402BC"/>
    <w:rsid w:val="00342319"/>
    <w:rsid w:val="003426C1"/>
    <w:rsid w:val="00343F12"/>
    <w:rsid w:val="00344AAD"/>
    <w:rsid w:val="003450CA"/>
    <w:rsid w:val="00351773"/>
    <w:rsid w:val="003563E8"/>
    <w:rsid w:val="00357CA6"/>
    <w:rsid w:val="00372902"/>
    <w:rsid w:val="00381C58"/>
    <w:rsid w:val="00384854"/>
    <w:rsid w:val="003850B7"/>
    <w:rsid w:val="00385CCF"/>
    <w:rsid w:val="00385CF7"/>
    <w:rsid w:val="0039282F"/>
    <w:rsid w:val="003D1209"/>
    <w:rsid w:val="003D2641"/>
    <w:rsid w:val="003D3B48"/>
    <w:rsid w:val="003E0472"/>
    <w:rsid w:val="003E2DF2"/>
    <w:rsid w:val="003E77E2"/>
    <w:rsid w:val="00402D9A"/>
    <w:rsid w:val="00406D85"/>
    <w:rsid w:val="00412F60"/>
    <w:rsid w:val="00431AC0"/>
    <w:rsid w:val="00435EEC"/>
    <w:rsid w:val="00452BD2"/>
    <w:rsid w:val="0046365B"/>
    <w:rsid w:val="00463700"/>
    <w:rsid w:val="004639AE"/>
    <w:rsid w:val="00484518"/>
    <w:rsid w:val="004853D8"/>
    <w:rsid w:val="00494EC4"/>
    <w:rsid w:val="004A5221"/>
    <w:rsid w:val="004B33C3"/>
    <w:rsid w:val="004C1E35"/>
    <w:rsid w:val="004C3424"/>
    <w:rsid w:val="004C5044"/>
    <w:rsid w:val="004C6CA3"/>
    <w:rsid w:val="004D05E1"/>
    <w:rsid w:val="004D3BEA"/>
    <w:rsid w:val="004E3267"/>
    <w:rsid w:val="004E609C"/>
    <w:rsid w:val="004F06AC"/>
    <w:rsid w:val="004F0844"/>
    <w:rsid w:val="004F61B5"/>
    <w:rsid w:val="004F7468"/>
    <w:rsid w:val="00500224"/>
    <w:rsid w:val="0052497B"/>
    <w:rsid w:val="0053160E"/>
    <w:rsid w:val="005353EC"/>
    <w:rsid w:val="00535B4B"/>
    <w:rsid w:val="00535E1A"/>
    <w:rsid w:val="00536A14"/>
    <w:rsid w:val="0054527A"/>
    <w:rsid w:val="005476F1"/>
    <w:rsid w:val="00552741"/>
    <w:rsid w:val="00556AFD"/>
    <w:rsid w:val="00557838"/>
    <w:rsid w:val="00560D2E"/>
    <w:rsid w:val="00560DCF"/>
    <w:rsid w:val="005632F9"/>
    <w:rsid w:val="005A0500"/>
    <w:rsid w:val="005A5D58"/>
    <w:rsid w:val="005B1AF8"/>
    <w:rsid w:val="005B253F"/>
    <w:rsid w:val="005B5145"/>
    <w:rsid w:val="005B67E4"/>
    <w:rsid w:val="005D1AD3"/>
    <w:rsid w:val="005E0F8C"/>
    <w:rsid w:val="005E5706"/>
    <w:rsid w:val="005F451E"/>
    <w:rsid w:val="005F65D0"/>
    <w:rsid w:val="005F6F7F"/>
    <w:rsid w:val="005F7AE0"/>
    <w:rsid w:val="00607941"/>
    <w:rsid w:val="006213E7"/>
    <w:rsid w:val="00621D4B"/>
    <w:rsid w:val="0063313D"/>
    <w:rsid w:val="006349B2"/>
    <w:rsid w:val="006372A2"/>
    <w:rsid w:val="00643351"/>
    <w:rsid w:val="006528ED"/>
    <w:rsid w:val="0065759F"/>
    <w:rsid w:val="00663747"/>
    <w:rsid w:val="00663A10"/>
    <w:rsid w:val="00674251"/>
    <w:rsid w:val="00677224"/>
    <w:rsid w:val="00687842"/>
    <w:rsid w:val="00693C8C"/>
    <w:rsid w:val="00694536"/>
    <w:rsid w:val="0069499B"/>
    <w:rsid w:val="00696EAC"/>
    <w:rsid w:val="006B3F73"/>
    <w:rsid w:val="006B64C7"/>
    <w:rsid w:val="006B79CC"/>
    <w:rsid w:val="006C0B55"/>
    <w:rsid w:val="006C48B9"/>
    <w:rsid w:val="006D4229"/>
    <w:rsid w:val="00703CF5"/>
    <w:rsid w:val="00705AEC"/>
    <w:rsid w:val="00710016"/>
    <w:rsid w:val="00714CFE"/>
    <w:rsid w:val="00721331"/>
    <w:rsid w:val="00737CDF"/>
    <w:rsid w:val="007406CA"/>
    <w:rsid w:val="00740909"/>
    <w:rsid w:val="00741836"/>
    <w:rsid w:val="007421D2"/>
    <w:rsid w:val="00746200"/>
    <w:rsid w:val="0074705F"/>
    <w:rsid w:val="007570A8"/>
    <w:rsid w:val="00761462"/>
    <w:rsid w:val="00770036"/>
    <w:rsid w:val="00776D6E"/>
    <w:rsid w:val="0079061D"/>
    <w:rsid w:val="00793E41"/>
    <w:rsid w:val="007975F6"/>
    <w:rsid w:val="007A151B"/>
    <w:rsid w:val="007A24C5"/>
    <w:rsid w:val="007A59B4"/>
    <w:rsid w:val="007A6233"/>
    <w:rsid w:val="007C4552"/>
    <w:rsid w:val="007C45BE"/>
    <w:rsid w:val="007C59E4"/>
    <w:rsid w:val="007D1307"/>
    <w:rsid w:val="007D7F73"/>
    <w:rsid w:val="007E7E06"/>
    <w:rsid w:val="007F5B3A"/>
    <w:rsid w:val="007F5FB6"/>
    <w:rsid w:val="008017F4"/>
    <w:rsid w:val="00803CDE"/>
    <w:rsid w:val="00806E31"/>
    <w:rsid w:val="00813124"/>
    <w:rsid w:val="008148DE"/>
    <w:rsid w:val="0081665F"/>
    <w:rsid w:val="008213FB"/>
    <w:rsid w:val="00821C73"/>
    <w:rsid w:val="0084353D"/>
    <w:rsid w:val="00844496"/>
    <w:rsid w:val="0086384E"/>
    <w:rsid w:val="008742D1"/>
    <w:rsid w:val="0088249B"/>
    <w:rsid w:val="008845DE"/>
    <w:rsid w:val="008A04D7"/>
    <w:rsid w:val="008A44FF"/>
    <w:rsid w:val="008A52C8"/>
    <w:rsid w:val="008A6A22"/>
    <w:rsid w:val="008A7965"/>
    <w:rsid w:val="008B0121"/>
    <w:rsid w:val="008B08CB"/>
    <w:rsid w:val="008B38CA"/>
    <w:rsid w:val="008B7BD5"/>
    <w:rsid w:val="008C7C64"/>
    <w:rsid w:val="008D119C"/>
    <w:rsid w:val="008D38F2"/>
    <w:rsid w:val="008D3F60"/>
    <w:rsid w:val="008D4A78"/>
    <w:rsid w:val="008D611B"/>
    <w:rsid w:val="008E0827"/>
    <w:rsid w:val="008E408A"/>
    <w:rsid w:val="008E4C32"/>
    <w:rsid w:val="008E521A"/>
    <w:rsid w:val="008E6077"/>
    <w:rsid w:val="008E612F"/>
    <w:rsid w:val="008F12AE"/>
    <w:rsid w:val="008F56BF"/>
    <w:rsid w:val="00907437"/>
    <w:rsid w:val="00920602"/>
    <w:rsid w:val="009217A9"/>
    <w:rsid w:val="00935FBA"/>
    <w:rsid w:val="00936317"/>
    <w:rsid w:val="009436B3"/>
    <w:rsid w:val="00950BBB"/>
    <w:rsid w:val="00953FC2"/>
    <w:rsid w:val="00970281"/>
    <w:rsid w:val="00970330"/>
    <w:rsid w:val="00974AC7"/>
    <w:rsid w:val="0098214A"/>
    <w:rsid w:val="009850F0"/>
    <w:rsid w:val="009A1E48"/>
    <w:rsid w:val="009A6BE5"/>
    <w:rsid w:val="009B005A"/>
    <w:rsid w:val="009B100F"/>
    <w:rsid w:val="009B2F63"/>
    <w:rsid w:val="009C1D66"/>
    <w:rsid w:val="009E18C4"/>
    <w:rsid w:val="009E2A20"/>
    <w:rsid w:val="009E7590"/>
    <w:rsid w:val="009F0728"/>
    <w:rsid w:val="009F520E"/>
    <w:rsid w:val="009F7F9F"/>
    <w:rsid w:val="00A01A47"/>
    <w:rsid w:val="00A10272"/>
    <w:rsid w:val="00A23FA0"/>
    <w:rsid w:val="00A3054A"/>
    <w:rsid w:val="00A31AD4"/>
    <w:rsid w:val="00A351CE"/>
    <w:rsid w:val="00A3525E"/>
    <w:rsid w:val="00A35D44"/>
    <w:rsid w:val="00A35EBF"/>
    <w:rsid w:val="00A37177"/>
    <w:rsid w:val="00A373E6"/>
    <w:rsid w:val="00A37B8C"/>
    <w:rsid w:val="00A41E1E"/>
    <w:rsid w:val="00A44CCB"/>
    <w:rsid w:val="00A474DA"/>
    <w:rsid w:val="00A520A7"/>
    <w:rsid w:val="00A534F4"/>
    <w:rsid w:val="00A617B8"/>
    <w:rsid w:val="00A67550"/>
    <w:rsid w:val="00A705C1"/>
    <w:rsid w:val="00A738B0"/>
    <w:rsid w:val="00A750EF"/>
    <w:rsid w:val="00A81917"/>
    <w:rsid w:val="00A851A3"/>
    <w:rsid w:val="00A91F1B"/>
    <w:rsid w:val="00A940C8"/>
    <w:rsid w:val="00AA0910"/>
    <w:rsid w:val="00AA6704"/>
    <w:rsid w:val="00AB66AE"/>
    <w:rsid w:val="00AC1BDC"/>
    <w:rsid w:val="00AD2BD1"/>
    <w:rsid w:val="00AE1681"/>
    <w:rsid w:val="00AF11F7"/>
    <w:rsid w:val="00AF486A"/>
    <w:rsid w:val="00AF5A8C"/>
    <w:rsid w:val="00AF7411"/>
    <w:rsid w:val="00B00A6F"/>
    <w:rsid w:val="00B020B1"/>
    <w:rsid w:val="00B0218F"/>
    <w:rsid w:val="00B056FD"/>
    <w:rsid w:val="00B220E5"/>
    <w:rsid w:val="00B27A26"/>
    <w:rsid w:val="00B40259"/>
    <w:rsid w:val="00B51E5D"/>
    <w:rsid w:val="00B51FFA"/>
    <w:rsid w:val="00B52978"/>
    <w:rsid w:val="00B73B29"/>
    <w:rsid w:val="00B7445C"/>
    <w:rsid w:val="00B7586F"/>
    <w:rsid w:val="00B8462A"/>
    <w:rsid w:val="00B92D86"/>
    <w:rsid w:val="00B97C98"/>
    <w:rsid w:val="00BA3734"/>
    <w:rsid w:val="00BB00A7"/>
    <w:rsid w:val="00BB01F8"/>
    <w:rsid w:val="00BB07A6"/>
    <w:rsid w:val="00BC043C"/>
    <w:rsid w:val="00BC366C"/>
    <w:rsid w:val="00BC3A60"/>
    <w:rsid w:val="00BC536F"/>
    <w:rsid w:val="00BC7C86"/>
    <w:rsid w:val="00BD0206"/>
    <w:rsid w:val="00BD0630"/>
    <w:rsid w:val="00BD25C1"/>
    <w:rsid w:val="00BD4371"/>
    <w:rsid w:val="00BD7A02"/>
    <w:rsid w:val="00BE17FC"/>
    <w:rsid w:val="00BE2242"/>
    <w:rsid w:val="00BF1582"/>
    <w:rsid w:val="00BF266A"/>
    <w:rsid w:val="00BF29C0"/>
    <w:rsid w:val="00BF7435"/>
    <w:rsid w:val="00C00239"/>
    <w:rsid w:val="00C0070C"/>
    <w:rsid w:val="00C00960"/>
    <w:rsid w:val="00C065DE"/>
    <w:rsid w:val="00C07DF3"/>
    <w:rsid w:val="00C23837"/>
    <w:rsid w:val="00C2529D"/>
    <w:rsid w:val="00C26C39"/>
    <w:rsid w:val="00C27BB7"/>
    <w:rsid w:val="00C33E5E"/>
    <w:rsid w:val="00C35381"/>
    <w:rsid w:val="00C535DE"/>
    <w:rsid w:val="00C53D33"/>
    <w:rsid w:val="00C65EE3"/>
    <w:rsid w:val="00C7657F"/>
    <w:rsid w:val="00C91690"/>
    <w:rsid w:val="00C940A4"/>
    <w:rsid w:val="00CB25EA"/>
    <w:rsid w:val="00CB4CBE"/>
    <w:rsid w:val="00CC0007"/>
    <w:rsid w:val="00CC163C"/>
    <w:rsid w:val="00CD0320"/>
    <w:rsid w:val="00CD3E8D"/>
    <w:rsid w:val="00CE027F"/>
    <w:rsid w:val="00CE0F5E"/>
    <w:rsid w:val="00D03806"/>
    <w:rsid w:val="00D041A5"/>
    <w:rsid w:val="00D06482"/>
    <w:rsid w:val="00D125CE"/>
    <w:rsid w:val="00D141B6"/>
    <w:rsid w:val="00D163ED"/>
    <w:rsid w:val="00D168C4"/>
    <w:rsid w:val="00D211FA"/>
    <w:rsid w:val="00D21EC4"/>
    <w:rsid w:val="00D24A23"/>
    <w:rsid w:val="00D25DB1"/>
    <w:rsid w:val="00D33A6E"/>
    <w:rsid w:val="00D373FF"/>
    <w:rsid w:val="00D44F50"/>
    <w:rsid w:val="00D46BD2"/>
    <w:rsid w:val="00D6038B"/>
    <w:rsid w:val="00D61C1D"/>
    <w:rsid w:val="00D61E53"/>
    <w:rsid w:val="00D63C0A"/>
    <w:rsid w:val="00D66741"/>
    <w:rsid w:val="00D740D1"/>
    <w:rsid w:val="00D7777B"/>
    <w:rsid w:val="00D808B2"/>
    <w:rsid w:val="00D8558B"/>
    <w:rsid w:val="00D85E7E"/>
    <w:rsid w:val="00D92D95"/>
    <w:rsid w:val="00DA0725"/>
    <w:rsid w:val="00DA0FC7"/>
    <w:rsid w:val="00DA6055"/>
    <w:rsid w:val="00DB77CD"/>
    <w:rsid w:val="00DC46BC"/>
    <w:rsid w:val="00DF0BD4"/>
    <w:rsid w:val="00DF79D4"/>
    <w:rsid w:val="00E00306"/>
    <w:rsid w:val="00E06982"/>
    <w:rsid w:val="00E069A8"/>
    <w:rsid w:val="00E22207"/>
    <w:rsid w:val="00E26548"/>
    <w:rsid w:val="00E31AC8"/>
    <w:rsid w:val="00E359F2"/>
    <w:rsid w:val="00E37C0F"/>
    <w:rsid w:val="00E4390C"/>
    <w:rsid w:val="00E6154F"/>
    <w:rsid w:val="00E658B4"/>
    <w:rsid w:val="00E70956"/>
    <w:rsid w:val="00E77A63"/>
    <w:rsid w:val="00E80566"/>
    <w:rsid w:val="00E86F7A"/>
    <w:rsid w:val="00E90C4E"/>
    <w:rsid w:val="00E953D6"/>
    <w:rsid w:val="00EA0A93"/>
    <w:rsid w:val="00EA54B7"/>
    <w:rsid w:val="00EA5E8E"/>
    <w:rsid w:val="00EC4A1F"/>
    <w:rsid w:val="00EC5938"/>
    <w:rsid w:val="00EE2D8A"/>
    <w:rsid w:val="00EF5449"/>
    <w:rsid w:val="00EF72C1"/>
    <w:rsid w:val="00F029A2"/>
    <w:rsid w:val="00F06042"/>
    <w:rsid w:val="00F20456"/>
    <w:rsid w:val="00F23DE0"/>
    <w:rsid w:val="00F33E5C"/>
    <w:rsid w:val="00F35A7C"/>
    <w:rsid w:val="00F420CF"/>
    <w:rsid w:val="00F43E11"/>
    <w:rsid w:val="00F47E51"/>
    <w:rsid w:val="00F757DA"/>
    <w:rsid w:val="00F81EA4"/>
    <w:rsid w:val="00F95351"/>
    <w:rsid w:val="00FA6A7B"/>
    <w:rsid w:val="00FC1F99"/>
    <w:rsid w:val="00FD0C01"/>
    <w:rsid w:val="00FE0FB9"/>
    <w:rsid w:val="00FF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4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534F4"/>
    <w:rPr>
      <w:rFonts w:asciiTheme="minorHAnsi" w:hAnsiTheme="minorHAnsi"/>
      <w:sz w:val="22"/>
      <w:szCs w:val="24"/>
    </w:rPr>
  </w:style>
  <w:style w:type="paragraph" w:styleId="Heading1">
    <w:name w:val="heading 1"/>
    <w:basedOn w:val="Normal"/>
    <w:next w:val="Normal"/>
    <w:link w:val="Heading1Char"/>
    <w:qFormat/>
    <w:rsid w:val="004E609C"/>
    <w:pPr>
      <w:keepNext/>
      <w:spacing w:before="240" w:after="60"/>
      <w:outlineLvl w:val="0"/>
    </w:pPr>
    <w:rPr>
      <w:rFonts w:ascii="Cambria" w:hAnsi="Cambria"/>
      <w:b/>
      <w:bCs/>
      <w:color w:val="2F5496" w:themeColor="accent5" w:themeShade="BF"/>
      <w:kern w:val="32"/>
      <w:sz w:val="32"/>
      <w:szCs w:val="32"/>
    </w:rPr>
  </w:style>
  <w:style w:type="paragraph" w:styleId="Heading2">
    <w:name w:val="heading 2"/>
    <w:basedOn w:val="Normal"/>
    <w:next w:val="Normal"/>
    <w:link w:val="Heading2Char"/>
    <w:qFormat/>
    <w:rsid w:val="005A0500"/>
    <w:pPr>
      <w:keepNext/>
      <w:keepLines/>
      <w:shd w:val="clear" w:color="auto" w:fill="D9D9D9" w:themeFill="background1" w:themeFillShade="D9"/>
      <w:spacing w:before="200" w:line="276" w:lineRule="auto"/>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F02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029A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609C"/>
    <w:rPr>
      <w:rFonts w:ascii="Cambria" w:hAnsi="Cambria"/>
      <w:b/>
      <w:bCs/>
      <w:color w:val="2F5496" w:themeColor="accent5" w:themeShade="BF"/>
      <w:kern w:val="32"/>
      <w:sz w:val="32"/>
      <w:szCs w:val="32"/>
    </w:rPr>
  </w:style>
  <w:style w:type="character" w:customStyle="1" w:styleId="Heading2Char">
    <w:name w:val="Heading 2 Char"/>
    <w:link w:val="Heading2"/>
    <w:rsid w:val="005A0500"/>
    <w:rPr>
      <w:rFonts w:ascii="Cambria" w:eastAsia="Calibri" w:hAnsi="Cambria"/>
      <w:b/>
      <w:bCs/>
      <w:color w:val="4F81BD"/>
      <w:sz w:val="26"/>
      <w:szCs w:val="26"/>
      <w:shd w:val="clear" w:color="auto" w:fill="D9D9D9" w:themeFill="background1" w:themeFillShade="D9"/>
    </w:rPr>
  </w:style>
  <w:style w:type="character" w:customStyle="1" w:styleId="Heading3Char">
    <w:name w:val="Heading 3 Char"/>
    <w:link w:val="Heading3"/>
    <w:rsid w:val="00F029A2"/>
    <w:rPr>
      <w:rFonts w:ascii="Arial" w:hAnsi="Arial" w:cs="Arial"/>
      <w:b/>
      <w:bCs/>
      <w:sz w:val="26"/>
      <w:szCs w:val="26"/>
      <w:lang w:val="en-US" w:eastAsia="en-US" w:bidi="ar-SA"/>
    </w:rPr>
  </w:style>
  <w:style w:type="character" w:customStyle="1" w:styleId="Heading4Char">
    <w:name w:val="Heading 4 Char"/>
    <w:link w:val="Heading4"/>
    <w:rsid w:val="00F029A2"/>
    <w:rPr>
      <w:b/>
      <w:bCs/>
      <w:sz w:val="28"/>
      <w:szCs w:val="28"/>
      <w:lang w:val="en-US" w:eastAsia="en-US" w:bidi="ar-SA"/>
    </w:rPr>
  </w:style>
  <w:style w:type="character" w:styleId="Hyperlink">
    <w:name w:val="Hyperlink"/>
    <w:rsid w:val="00F029A2"/>
    <w:rPr>
      <w:color w:val="0000FF"/>
      <w:u w:val="single"/>
    </w:rPr>
  </w:style>
  <w:style w:type="paragraph" w:customStyle="1" w:styleId="Default">
    <w:name w:val="Default"/>
    <w:rsid w:val="00F029A2"/>
    <w:pPr>
      <w:autoSpaceDE w:val="0"/>
      <w:autoSpaceDN w:val="0"/>
      <w:adjustRightInd w:val="0"/>
    </w:pPr>
    <w:rPr>
      <w:color w:val="000000"/>
      <w:sz w:val="24"/>
      <w:szCs w:val="24"/>
    </w:rPr>
  </w:style>
  <w:style w:type="paragraph" w:styleId="Footer">
    <w:name w:val="footer"/>
    <w:basedOn w:val="Normal"/>
    <w:link w:val="FooterChar"/>
    <w:uiPriority w:val="99"/>
    <w:rsid w:val="00F029A2"/>
    <w:pPr>
      <w:tabs>
        <w:tab w:val="center" w:pos="4320"/>
        <w:tab w:val="right" w:pos="8640"/>
      </w:tabs>
    </w:pPr>
  </w:style>
  <w:style w:type="character" w:customStyle="1" w:styleId="FooterChar">
    <w:name w:val="Footer Char"/>
    <w:link w:val="Footer"/>
    <w:uiPriority w:val="99"/>
    <w:rsid w:val="00F029A2"/>
    <w:rPr>
      <w:sz w:val="24"/>
      <w:szCs w:val="24"/>
      <w:lang w:val="en-US" w:eastAsia="en-US" w:bidi="ar-SA"/>
    </w:rPr>
  </w:style>
  <w:style w:type="character" w:styleId="PageNumber">
    <w:name w:val="page number"/>
    <w:basedOn w:val="DefaultParagraphFont"/>
    <w:rsid w:val="00F029A2"/>
  </w:style>
  <w:style w:type="paragraph" w:styleId="CommentText">
    <w:name w:val="annotation text"/>
    <w:basedOn w:val="Normal"/>
    <w:link w:val="CommentTextChar"/>
    <w:semiHidden/>
    <w:rsid w:val="00F029A2"/>
    <w:rPr>
      <w:sz w:val="20"/>
      <w:szCs w:val="20"/>
    </w:rPr>
  </w:style>
  <w:style w:type="character" w:customStyle="1" w:styleId="CommentTextChar">
    <w:name w:val="Comment Text Char"/>
    <w:link w:val="CommentText"/>
    <w:semiHidden/>
    <w:rsid w:val="00F029A2"/>
    <w:rPr>
      <w:lang w:val="en-US" w:eastAsia="en-US" w:bidi="ar-SA"/>
    </w:rPr>
  </w:style>
  <w:style w:type="paragraph" w:customStyle="1" w:styleId="CM23">
    <w:name w:val="CM23"/>
    <w:basedOn w:val="Default"/>
    <w:next w:val="Default"/>
    <w:rsid w:val="00F029A2"/>
    <w:rPr>
      <w:color w:val="auto"/>
    </w:rPr>
  </w:style>
  <w:style w:type="paragraph" w:styleId="NoSpacing">
    <w:name w:val="No Spacing"/>
    <w:qFormat/>
    <w:rsid w:val="00F029A2"/>
    <w:rPr>
      <w:rFonts w:ascii="Calibri" w:hAnsi="Calibri"/>
      <w:sz w:val="22"/>
      <w:szCs w:val="22"/>
    </w:rPr>
  </w:style>
  <w:style w:type="character" w:customStyle="1" w:styleId="CharChar1">
    <w:name w:val="Char Char1"/>
    <w:locked/>
    <w:rsid w:val="00F029A2"/>
    <w:rPr>
      <w:rFonts w:ascii="Cambria" w:eastAsia="Calibri" w:hAnsi="Cambria"/>
      <w:b/>
      <w:bCs/>
      <w:color w:val="4F81BD"/>
      <w:sz w:val="26"/>
      <w:szCs w:val="26"/>
      <w:lang w:val="en-US" w:eastAsia="en-US" w:bidi="ar-SA"/>
    </w:rPr>
  </w:style>
  <w:style w:type="character" w:styleId="Emphasis">
    <w:name w:val="Emphasis"/>
    <w:uiPriority w:val="20"/>
    <w:qFormat/>
    <w:rsid w:val="005476F1"/>
    <w:rPr>
      <w:i/>
      <w:iCs/>
      <w:sz w:val="20"/>
    </w:rPr>
  </w:style>
  <w:style w:type="paragraph" w:styleId="BalloonText">
    <w:name w:val="Balloon Text"/>
    <w:basedOn w:val="Normal"/>
    <w:link w:val="BalloonTextChar"/>
    <w:rsid w:val="00F029A2"/>
    <w:rPr>
      <w:rFonts w:ascii="Tahoma" w:hAnsi="Tahoma" w:cs="Tahoma"/>
      <w:sz w:val="16"/>
      <w:szCs w:val="16"/>
    </w:rPr>
  </w:style>
  <w:style w:type="character" w:customStyle="1" w:styleId="BalloonTextChar">
    <w:name w:val="Balloon Text Char"/>
    <w:link w:val="BalloonText"/>
    <w:rsid w:val="00F029A2"/>
    <w:rPr>
      <w:rFonts w:ascii="Tahoma" w:hAnsi="Tahoma" w:cs="Tahoma"/>
      <w:sz w:val="16"/>
      <w:szCs w:val="16"/>
      <w:lang w:val="en-US" w:eastAsia="en-US" w:bidi="ar-SA"/>
    </w:rPr>
  </w:style>
  <w:style w:type="paragraph" w:customStyle="1" w:styleId="Body">
    <w:name w:val="Body"/>
    <w:rsid w:val="00F029A2"/>
    <w:rPr>
      <w:rFonts w:ascii="Helvetica" w:eastAsia="ヒラギノ角ゴ Pro W3" w:hAnsi="Helvetica"/>
      <w:color w:val="000000"/>
      <w:sz w:val="24"/>
    </w:rPr>
  </w:style>
  <w:style w:type="paragraph" w:styleId="Title">
    <w:name w:val="Title"/>
    <w:basedOn w:val="Normal"/>
    <w:next w:val="Normal"/>
    <w:link w:val="TitleChar"/>
    <w:uiPriority w:val="10"/>
    <w:qFormat/>
    <w:rsid w:val="005476F1"/>
    <w:pPr>
      <w:spacing w:after="300"/>
      <w:contextualSpacing/>
    </w:pPr>
    <w:rPr>
      <w:rFonts w:ascii="Cambria" w:eastAsia="Calibri" w:hAnsi="Cambria"/>
      <w:color w:val="1F3864" w:themeColor="accent5" w:themeShade="80"/>
      <w:spacing w:val="5"/>
      <w:kern w:val="28"/>
      <w:sz w:val="32"/>
      <w:szCs w:val="52"/>
    </w:rPr>
  </w:style>
  <w:style w:type="character" w:customStyle="1" w:styleId="TitleChar">
    <w:name w:val="Title Char"/>
    <w:link w:val="Title"/>
    <w:uiPriority w:val="10"/>
    <w:rsid w:val="005476F1"/>
    <w:rPr>
      <w:rFonts w:ascii="Cambria" w:eastAsia="Calibri" w:hAnsi="Cambria"/>
      <w:color w:val="1F3864" w:themeColor="accent5" w:themeShade="80"/>
      <w:spacing w:val="5"/>
      <w:kern w:val="28"/>
      <w:sz w:val="32"/>
      <w:szCs w:val="52"/>
    </w:rPr>
  </w:style>
  <w:style w:type="paragraph" w:styleId="Subtitle">
    <w:name w:val="Subtitle"/>
    <w:basedOn w:val="Normal"/>
    <w:next w:val="Normal"/>
    <w:link w:val="SubtitleChar"/>
    <w:qFormat/>
    <w:rsid w:val="005476F1"/>
    <w:pPr>
      <w:numPr>
        <w:ilvl w:val="1"/>
      </w:numPr>
      <w:spacing w:after="200" w:line="276" w:lineRule="auto"/>
    </w:pPr>
    <w:rPr>
      <w:rFonts w:eastAsia="Calibri"/>
      <w:iCs/>
      <w:color w:val="595959" w:themeColor="text1" w:themeTint="A6"/>
      <w:spacing w:val="15"/>
      <w:sz w:val="26"/>
    </w:rPr>
  </w:style>
  <w:style w:type="character" w:customStyle="1" w:styleId="SubtitleChar">
    <w:name w:val="Subtitle Char"/>
    <w:link w:val="Subtitle"/>
    <w:rsid w:val="005476F1"/>
    <w:rPr>
      <w:rFonts w:asciiTheme="minorHAnsi" w:eastAsia="Calibri" w:hAnsiTheme="minorHAnsi"/>
      <w:iCs/>
      <w:color w:val="595959" w:themeColor="text1" w:themeTint="A6"/>
      <w:spacing w:val="15"/>
      <w:sz w:val="26"/>
      <w:szCs w:val="24"/>
    </w:rPr>
  </w:style>
  <w:style w:type="character" w:styleId="SubtleEmphasis">
    <w:name w:val="Subtle Emphasis"/>
    <w:qFormat/>
    <w:rsid w:val="00F029A2"/>
    <w:rPr>
      <w:rFonts w:cs="Times New Roman"/>
      <w:i/>
      <w:iCs/>
      <w:color w:val="808080"/>
    </w:rPr>
  </w:style>
  <w:style w:type="character" w:customStyle="1" w:styleId="CommentSubjectChar">
    <w:name w:val="Comment Subject Char"/>
    <w:link w:val="CommentSubject"/>
    <w:semiHidden/>
    <w:rsid w:val="00F029A2"/>
    <w:rPr>
      <w:b/>
      <w:bCs/>
      <w:lang w:bidi="ar-SA"/>
    </w:rPr>
  </w:style>
  <w:style w:type="paragraph" w:styleId="CommentSubject">
    <w:name w:val="annotation subject"/>
    <w:basedOn w:val="CommentText"/>
    <w:next w:val="CommentText"/>
    <w:link w:val="CommentSubjectChar"/>
    <w:semiHidden/>
    <w:rsid w:val="00F029A2"/>
    <w:rPr>
      <w:b/>
      <w:bCs/>
    </w:rPr>
  </w:style>
  <w:style w:type="paragraph" w:styleId="ListParagraph">
    <w:name w:val="List Paragraph"/>
    <w:basedOn w:val="Normal"/>
    <w:uiPriority w:val="1"/>
    <w:qFormat/>
    <w:rsid w:val="00F029A2"/>
    <w:pPr>
      <w:ind w:left="720"/>
      <w:contextualSpacing/>
    </w:pPr>
  </w:style>
  <w:style w:type="paragraph" w:styleId="NormalWeb">
    <w:name w:val="Normal (Web)"/>
    <w:basedOn w:val="Normal"/>
    <w:unhideWhenUsed/>
    <w:rsid w:val="00F029A2"/>
    <w:pPr>
      <w:spacing w:before="100" w:beforeAutospacing="1" w:after="100" w:afterAutospacing="1"/>
    </w:pPr>
  </w:style>
  <w:style w:type="character" w:customStyle="1" w:styleId="apple-converted-space">
    <w:name w:val="apple-converted-space"/>
    <w:basedOn w:val="DefaultParagraphFont"/>
    <w:rsid w:val="00F029A2"/>
  </w:style>
  <w:style w:type="paragraph" w:styleId="Header">
    <w:name w:val="header"/>
    <w:basedOn w:val="Normal"/>
    <w:link w:val="HeaderChar"/>
    <w:rsid w:val="00F029A2"/>
    <w:pPr>
      <w:tabs>
        <w:tab w:val="center" w:pos="4320"/>
        <w:tab w:val="right" w:pos="8640"/>
      </w:tabs>
    </w:pPr>
  </w:style>
  <w:style w:type="character" w:customStyle="1" w:styleId="HeaderChar">
    <w:name w:val="Header Char"/>
    <w:link w:val="Header"/>
    <w:rsid w:val="00F029A2"/>
    <w:rPr>
      <w:sz w:val="24"/>
      <w:szCs w:val="24"/>
      <w:lang w:val="en-US" w:eastAsia="en-US" w:bidi="ar-SA"/>
    </w:rPr>
  </w:style>
  <w:style w:type="character" w:customStyle="1" w:styleId="thanksubtitle">
    <w:name w:val="thanksubtitle"/>
    <w:basedOn w:val="DefaultParagraphFont"/>
    <w:rsid w:val="00F029A2"/>
  </w:style>
  <w:style w:type="paragraph" w:customStyle="1" w:styleId="AppendicesNormal">
    <w:name w:val="Appendices Normal"/>
    <w:basedOn w:val="Normal"/>
    <w:rsid w:val="00F029A2"/>
    <w:rPr>
      <w:szCs w:val="20"/>
    </w:rPr>
  </w:style>
  <w:style w:type="paragraph" w:customStyle="1" w:styleId="Calibri">
    <w:name w:val="Calibri"/>
    <w:aliases w:val="11 pt"/>
    <w:basedOn w:val="Normal"/>
    <w:rsid w:val="00F029A2"/>
    <w:pPr>
      <w:autoSpaceDE w:val="0"/>
      <w:autoSpaceDN w:val="0"/>
      <w:adjustRightInd w:val="0"/>
    </w:pPr>
    <w:rPr>
      <w:rFonts w:ascii="Calibri" w:hAnsi="Calibri" w:cs="Arial"/>
      <w:szCs w:val="22"/>
    </w:rPr>
  </w:style>
  <w:style w:type="character" w:styleId="CommentReference">
    <w:name w:val="annotation reference"/>
    <w:rsid w:val="00AA0910"/>
    <w:rPr>
      <w:sz w:val="16"/>
      <w:szCs w:val="16"/>
    </w:rPr>
  </w:style>
  <w:style w:type="table" w:styleId="TableGrid">
    <w:name w:val="Table Grid"/>
    <w:basedOn w:val="TableNormal"/>
    <w:uiPriority w:val="59"/>
    <w:rsid w:val="008D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119C"/>
    <w:rPr>
      <w:color w:val="808080"/>
    </w:rPr>
  </w:style>
  <w:style w:type="paragraph" w:styleId="Revision">
    <w:name w:val="Revision"/>
    <w:hidden/>
    <w:uiPriority w:val="99"/>
    <w:semiHidden/>
    <w:rsid w:val="00197468"/>
    <w:rPr>
      <w:sz w:val="24"/>
      <w:szCs w:val="24"/>
    </w:rPr>
  </w:style>
  <w:style w:type="paragraph" w:styleId="BodyText">
    <w:name w:val="Body Text"/>
    <w:basedOn w:val="Normal"/>
    <w:link w:val="BodyTextChar"/>
    <w:semiHidden/>
    <w:unhideWhenUsed/>
    <w:rsid w:val="004D05E1"/>
    <w:pPr>
      <w:spacing w:after="120"/>
    </w:pPr>
  </w:style>
  <w:style w:type="character" w:customStyle="1" w:styleId="BodyTextChar">
    <w:name w:val="Body Text Char"/>
    <w:basedOn w:val="DefaultParagraphFont"/>
    <w:link w:val="BodyText"/>
    <w:semiHidden/>
    <w:rsid w:val="004D05E1"/>
    <w:rPr>
      <w:rFonts w:asciiTheme="minorHAnsi" w:hAnsiTheme="minorHAnsi"/>
      <w:sz w:val="22"/>
      <w:szCs w:val="24"/>
    </w:rPr>
  </w:style>
  <w:style w:type="paragraph" w:customStyle="1" w:styleId="TableParagraph">
    <w:name w:val="Table Paragraph"/>
    <w:basedOn w:val="Normal"/>
    <w:uiPriority w:val="1"/>
    <w:qFormat/>
    <w:rsid w:val="00663A10"/>
    <w:pPr>
      <w:widowControl w:val="0"/>
      <w:autoSpaceDE w:val="0"/>
      <w:autoSpaceDN w:val="0"/>
    </w:pPr>
    <w:rPr>
      <w:rFonts w:ascii="Calibri" w:eastAsia="Calibri" w:hAnsi="Calibri" w:cs="Calibri"/>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7877">
      <w:bodyDiv w:val="1"/>
      <w:marLeft w:val="0"/>
      <w:marRight w:val="0"/>
      <w:marTop w:val="0"/>
      <w:marBottom w:val="0"/>
      <w:divBdr>
        <w:top w:val="none" w:sz="0" w:space="0" w:color="auto"/>
        <w:left w:val="none" w:sz="0" w:space="0" w:color="auto"/>
        <w:bottom w:val="none" w:sz="0" w:space="0" w:color="auto"/>
        <w:right w:val="none" w:sz="0" w:space="0" w:color="auto"/>
      </w:divBdr>
    </w:div>
    <w:div w:id="141968435">
      <w:bodyDiv w:val="1"/>
      <w:marLeft w:val="0"/>
      <w:marRight w:val="0"/>
      <w:marTop w:val="0"/>
      <w:marBottom w:val="0"/>
      <w:divBdr>
        <w:top w:val="none" w:sz="0" w:space="0" w:color="auto"/>
        <w:left w:val="none" w:sz="0" w:space="0" w:color="auto"/>
        <w:bottom w:val="none" w:sz="0" w:space="0" w:color="auto"/>
        <w:right w:val="none" w:sz="0" w:space="0" w:color="auto"/>
      </w:divBdr>
    </w:div>
    <w:div w:id="222957139">
      <w:bodyDiv w:val="1"/>
      <w:marLeft w:val="0"/>
      <w:marRight w:val="0"/>
      <w:marTop w:val="0"/>
      <w:marBottom w:val="0"/>
      <w:divBdr>
        <w:top w:val="none" w:sz="0" w:space="0" w:color="auto"/>
        <w:left w:val="none" w:sz="0" w:space="0" w:color="auto"/>
        <w:bottom w:val="none" w:sz="0" w:space="0" w:color="auto"/>
        <w:right w:val="none" w:sz="0" w:space="0" w:color="auto"/>
      </w:divBdr>
    </w:div>
    <w:div w:id="846093549">
      <w:bodyDiv w:val="1"/>
      <w:marLeft w:val="0"/>
      <w:marRight w:val="0"/>
      <w:marTop w:val="0"/>
      <w:marBottom w:val="0"/>
      <w:divBdr>
        <w:top w:val="none" w:sz="0" w:space="0" w:color="auto"/>
        <w:left w:val="none" w:sz="0" w:space="0" w:color="auto"/>
        <w:bottom w:val="none" w:sz="0" w:space="0" w:color="auto"/>
        <w:right w:val="none" w:sz="0" w:space="0" w:color="auto"/>
      </w:divBdr>
    </w:div>
    <w:div w:id="991523811">
      <w:bodyDiv w:val="1"/>
      <w:marLeft w:val="0"/>
      <w:marRight w:val="0"/>
      <w:marTop w:val="0"/>
      <w:marBottom w:val="0"/>
      <w:divBdr>
        <w:top w:val="none" w:sz="0" w:space="0" w:color="auto"/>
        <w:left w:val="none" w:sz="0" w:space="0" w:color="auto"/>
        <w:bottom w:val="none" w:sz="0" w:space="0" w:color="auto"/>
        <w:right w:val="none" w:sz="0" w:space="0" w:color="auto"/>
      </w:divBdr>
    </w:div>
    <w:div w:id="1014309766">
      <w:bodyDiv w:val="1"/>
      <w:marLeft w:val="0"/>
      <w:marRight w:val="0"/>
      <w:marTop w:val="0"/>
      <w:marBottom w:val="0"/>
      <w:divBdr>
        <w:top w:val="none" w:sz="0" w:space="0" w:color="auto"/>
        <w:left w:val="none" w:sz="0" w:space="0" w:color="auto"/>
        <w:bottom w:val="none" w:sz="0" w:space="0" w:color="auto"/>
        <w:right w:val="none" w:sz="0" w:space="0" w:color="auto"/>
      </w:divBdr>
    </w:div>
    <w:div w:id="1043364878">
      <w:bodyDiv w:val="1"/>
      <w:marLeft w:val="0"/>
      <w:marRight w:val="0"/>
      <w:marTop w:val="0"/>
      <w:marBottom w:val="0"/>
      <w:divBdr>
        <w:top w:val="none" w:sz="0" w:space="0" w:color="auto"/>
        <w:left w:val="none" w:sz="0" w:space="0" w:color="auto"/>
        <w:bottom w:val="none" w:sz="0" w:space="0" w:color="auto"/>
        <w:right w:val="none" w:sz="0" w:space="0" w:color="auto"/>
      </w:divBdr>
    </w:div>
    <w:div w:id="1088311066">
      <w:bodyDiv w:val="1"/>
      <w:marLeft w:val="0"/>
      <w:marRight w:val="0"/>
      <w:marTop w:val="0"/>
      <w:marBottom w:val="0"/>
      <w:divBdr>
        <w:top w:val="none" w:sz="0" w:space="0" w:color="auto"/>
        <w:left w:val="none" w:sz="0" w:space="0" w:color="auto"/>
        <w:bottom w:val="none" w:sz="0" w:space="0" w:color="auto"/>
        <w:right w:val="none" w:sz="0" w:space="0" w:color="auto"/>
      </w:divBdr>
    </w:div>
    <w:div w:id="15568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5172-FF8C-47E0-8DD9-A2ACCA5F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2019-10-01T13:42:00Z</dcterms:created>
  <dcterms:modified xsi:type="dcterms:W3CDTF">2019-10-01T14:38:00Z</dcterms:modified>
</cp:coreProperties>
</file>