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2AFE" w14:textId="77777777" w:rsidR="00DB41FE" w:rsidRDefault="00F64EEF">
      <w:pPr>
        <w:pStyle w:val="Title"/>
      </w:pPr>
      <w:r>
        <w:t>LICC Quick Guide for New Chairs</w:t>
      </w:r>
    </w:p>
    <w:p w14:paraId="008F21A0" w14:textId="7BED404E" w:rsidR="00DB41FE" w:rsidRDefault="00F654B8">
      <w:r>
        <w:rPr>
          <w:noProof/>
        </w:rPr>
        <w:drawing>
          <wp:anchor distT="0" distB="0" distL="114300" distR="114300" simplePos="0" relativeHeight="251658240" behindDoc="0" locked="0" layoutInCell="1" allowOverlap="1" wp14:anchorId="09C79C4D" wp14:editId="528886DC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1907615" cy="1708150"/>
            <wp:effectExtent l="0" t="0" r="0" b="6350"/>
            <wp:wrapSquare wrapText="bothSides"/>
            <wp:docPr id="2066162065" name="Picture 1" descr="bee standing under spotlight holding an orange welcome sign">
              <a:extLst xmlns:a="http://schemas.openxmlformats.org/drawingml/2006/main">
                <a:ext uri="{FF2B5EF4-FFF2-40B4-BE49-F238E27FC236}">
                  <a16:creationId xmlns:a16="http://schemas.microsoft.com/office/drawing/2014/main" id="{CC52AD45-7080-4A95-8885-880B94FC2E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162065" name="Picture 1" descr="bee standing under spotlight holding an orange welcome sign"/>
                    <pic:cNvPicPr/>
                  </pic:nvPicPr>
                  <pic:blipFill rotWithShape="1">
                    <a:blip r:embed="rId8"/>
                    <a:srcRect l="19908" t="28878" r="19213" b="29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615" cy="170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4E2C5B8">
        <w:t xml:space="preserve">Welcome to your new role as LICC Chair/Co-Chair! </w:t>
      </w:r>
      <w:r w:rsidR="0964F3B8">
        <w:t xml:space="preserve">This guide was created for willing leaders </w:t>
      </w:r>
      <w:r w:rsidR="0F6D6A6A">
        <w:t xml:space="preserve">(like you!) </w:t>
      </w:r>
      <w:r w:rsidR="0964F3B8">
        <w:t>who step up or were handed this role without a ton of guidance on what</w:t>
      </w:r>
      <w:r w:rsidR="70A3B7FE">
        <w:t xml:space="preserve"> exactly they should be doing. We hope it will help you get your bearings, develop a plan, and learn how to lead effectively. Please utilize the re</w:t>
      </w:r>
      <w:r w:rsidR="756D5ADF">
        <w:t xml:space="preserve">sources and </w:t>
      </w:r>
      <w:r w:rsidR="00410A83">
        <w:t>contacts available – they are here to support you!</w:t>
      </w:r>
    </w:p>
    <w:p w14:paraId="2EB44625" w14:textId="77777777" w:rsidR="00F654B8" w:rsidRDefault="00F654B8"/>
    <w:p w14:paraId="1D9AEF48" w14:textId="3BF7D5CC" w:rsidR="00DB41FE" w:rsidRDefault="00410A83">
      <w:pPr>
        <w:pStyle w:val="Heading1"/>
      </w:pPr>
      <w:r>
        <w:t>First things first…</w:t>
      </w:r>
      <w:r w:rsidR="00F64EEF">
        <w:t>What is an LICC?</w:t>
      </w:r>
    </w:p>
    <w:p w14:paraId="5BDA71DC" w14:textId="3076722A" w:rsidR="00DB41FE" w:rsidRDefault="00F654B8" w:rsidP="00C958A1">
      <w:r>
        <w:rPr>
          <w:noProof/>
        </w:rPr>
        <w:drawing>
          <wp:anchor distT="0" distB="0" distL="114300" distR="114300" simplePos="0" relativeHeight="251658241" behindDoc="0" locked="0" layoutInCell="1" allowOverlap="1" wp14:anchorId="24611B03" wp14:editId="2E95214D">
            <wp:simplePos x="0" y="0"/>
            <wp:positionH relativeFrom="column">
              <wp:posOffset>5064760</wp:posOffset>
            </wp:positionH>
            <wp:positionV relativeFrom="paragraph">
              <wp:posOffset>748665</wp:posOffset>
            </wp:positionV>
            <wp:extent cx="1115695" cy="1422400"/>
            <wp:effectExtent l="0" t="0" r="8255" b="6350"/>
            <wp:wrapSquare wrapText="bothSides"/>
            <wp:docPr id="1342407152" name="Picture 2" descr="bee reading a green book ">
              <a:extLst xmlns:a="http://schemas.openxmlformats.org/drawingml/2006/main">
                <a:ext uri="{FF2B5EF4-FFF2-40B4-BE49-F238E27FC236}">
                  <a16:creationId xmlns:a16="http://schemas.microsoft.com/office/drawing/2014/main" id="{C53E53F2-7623-404C-9D5B-67B16AFAD4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407152" name="Picture 2" descr="bee reading a green book 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EEF">
        <w:t>A Local Interagency Coordinating Council (LICC) is a community-based leadership</w:t>
      </w:r>
      <w:r w:rsidR="00D959B6">
        <w:t xml:space="preserve">, advisory, and action </w:t>
      </w:r>
      <w:r w:rsidR="00F64EEF">
        <w:t>group that brings together families, providers, and partners to strengthen early intervention services for young children and their families.</w:t>
      </w:r>
      <w:r w:rsidR="00D959B6">
        <w:t xml:space="preserve"> It is recommended that a Local Interagency Coordinating Council be organized for each county</w:t>
      </w:r>
      <w:r w:rsidR="00C77F97">
        <w:t xml:space="preserve"> as they play a</w:t>
      </w:r>
      <w:r w:rsidR="00D959B6">
        <w:t xml:space="preserve"> critical role in advancing Child Find </w:t>
      </w:r>
      <w:r w:rsidR="3260534F">
        <w:t>(see LICC Manual p.</w:t>
      </w:r>
      <w:r w:rsidR="30B86AD3">
        <w:t xml:space="preserve"> 5-6</w:t>
      </w:r>
      <w:r w:rsidR="1380C49D">
        <w:t xml:space="preserve"> </w:t>
      </w:r>
      <w:r w:rsidR="6520D6A6">
        <w:t>and Appendix</w:t>
      </w:r>
      <w:r w:rsidR="1E847856">
        <w:t xml:space="preserve"> D</w:t>
      </w:r>
      <w:r w:rsidR="6520D6A6">
        <w:t xml:space="preserve"> </w:t>
      </w:r>
      <w:r w:rsidR="137A4C11">
        <w:t xml:space="preserve">for more information on Child Find) </w:t>
      </w:r>
      <w:r w:rsidR="00D959B6">
        <w:t>at the community level</w:t>
      </w:r>
      <w:r w:rsidR="00C77F97">
        <w:t xml:space="preserve">. Some of the most effective LICCs have active members across </w:t>
      </w:r>
      <w:r w:rsidR="00D959B6">
        <w:t>agencies such as health</w:t>
      </w:r>
      <w:r w:rsidR="002517B8">
        <w:t xml:space="preserve"> </w:t>
      </w:r>
      <w:r w:rsidR="00D959B6">
        <w:t xml:space="preserve">care providers, early childhood programs, schools, and community organizations. </w:t>
      </w:r>
    </w:p>
    <w:p w14:paraId="664EFF2A" w14:textId="545A256C" w:rsidR="00DB41FE" w:rsidRDefault="00F64EEF">
      <w:pPr>
        <w:pStyle w:val="Heading1"/>
      </w:pPr>
      <w:r>
        <w:t>Your Role as Chair</w:t>
      </w:r>
      <w:r w:rsidR="0082055F">
        <w:t>/Co-Chair</w:t>
      </w:r>
    </w:p>
    <w:p w14:paraId="264857B8" w14:textId="09729B94" w:rsidR="00401595" w:rsidRDefault="00F64EEF">
      <w:pPr>
        <w:rPr>
          <w:b/>
          <w:bCs/>
          <w:i/>
          <w:iCs/>
        </w:rPr>
      </w:pPr>
      <w:r>
        <w:t>• Connect people across systems</w:t>
      </w:r>
      <w:r w:rsidR="00C77F97">
        <w:t xml:space="preserve"> </w:t>
      </w:r>
      <w:r w:rsidR="00B929CD">
        <w:t xml:space="preserve">through regular </w:t>
      </w:r>
      <w:r w:rsidR="00C77F97">
        <w:t>meetings</w:t>
      </w:r>
      <w:r>
        <w:br/>
        <w:t>• Keep the group focused</w:t>
      </w:r>
      <w:r w:rsidR="0CDD371F">
        <w:t xml:space="preserve"> and engaged</w:t>
      </w:r>
      <w:r>
        <w:br/>
        <w:t>• Move ideas into action</w:t>
      </w:r>
      <w:r w:rsidR="00C77F97">
        <w:t xml:space="preserve"> that fulfill child find activity requirements and community needs</w:t>
      </w:r>
      <w:r>
        <w:br/>
      </w:r>
      <w:r w:rsidRPr="7086BB05">
        <w:rPr>
          <w:b/>
          <w:bCs/>
          <w:i/>
          <w:iCs/>
        </w:rPr>
        <w:t>• Ensure families are centered</w:t>
      </w:r>
    </w:p>
    <w:p w14:paraId="21CAE1B8" w14:textId="3E792424" w:rsidR="00DB41FE" w:rsidRPr="00D82350" w:rsidRDefault="00401595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34A8E0C2" w14:textId="0CC73BB5" w:rsidR="00DB41FE" w:rsidRDefault="007411B9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6CC495A9" wp14:editId="3417AF93">
            <wp:simplePos x="0" y="0"/>
            <wp:positionH relativeFrom="column">
              <wp:posOffset>-876935</wp:posOffset>
            </wp:positionH>
            <wp:positionV relativeFrom="paragraph">
              <wp:posOffset>10795</wp:posOffset>
            </wp:positionV>
            <wp:extent cx="868680" cy="1339850"/>
            <wp:effectExtent l="0" t="0" r="7620" b="0"/>
            <wp:wrapSquare wrapText="bothSides"/>
            <wp:docPr id="2024314175" name="Picture 3" descr="bee standing above a green alarm clock">
              <a:extLst xmlns:a="http://schemas.openxmlformats.org/drawingml/2006/main">
                <a:ext uri="{FF2B5EF4-FFF2-40B4-BE49-F238E27FC236}">
                  <a16:creationId xmlns:a16="http://schemas.microsoft.com/office/drawing/2014/main" id="{35461848-A768-4138-B124-79833C4A1D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14175" name="Picture 3" descr="bee standing above a green alarm clock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EEF">
        <w:t>Your First 90 Days</w:t>
      </w:r>
    </w:p>
    <w:p w14:paraId="4DC3383C" w14:textId="5778A7B1" w:rsidR="00DB41FE" w:rsidRDefault="00F64EEF">
      <w:pPr>
        <w:pStyle w:val="Heading2"/>
      </w:pPr>
      <w:r>
        <w:t>Step 1: Get Grounded (Weeks 1–2)</w:t>
      </w:r>
    </w:p>
    <w:p w14:paraId="555133C2" w14:textId="1068235B" w:rsidR="00DB41FE" w:rsidRDefault="00F64EEF">
      <w:r>
        <w:t xml:space="preserve">Understand your membership and partners. Listen </w:t>
      </w:r>
      <w:r w:rsidR="002517B8">
        <w:t>first – what’s</w:t>
      </w:r>
      <w:r>
        <w:t xml:space="preserve"> working and what’s not?</w:t>
      </w:r>
      <w:r w:rsidR="00C77F97">
        <w:t xml:space="preserve"> Use this checklist to determine if you are missing key members across agencies.</w:t>
      </w:r>
      <w:r w:rsidR="00F17E80">
        <w:t xml:space="preserve"> You don’t have to have all these people present to make your LICC effective</w:t>
      </w:r>
      <w:r w:rsidR="3E71A2F7">
        <w:t xml:space="preserve">; however, you can </w:t>
      </w:r>
      <w:r w:rsidR="00F17E80">
        <w:t>use th</w:t>
      </w:r>
      <w:r w:rsidR="5BA72D1B">
        <w:t>e checklist below</w:t>
      </w:r>
      <w:r w:rsidR="00F17E80">
        <w:t xml:space="preserve"> as a guide to see what gaps you might be able to fill</w:t>
      </w:r>
      <w:r w:rsidR="00410A83">
        <w:t xml:space="preserve"> by inviting new members</w:t>
      </w:r>
      <w:r w:rsidR="00F17E80">
        <w:t xml:space="preserve">, especially if </w:t>
      </w:r>
      <w:r w:rsidR="00410A83">
        <w:t xml:space="preserve">participation is </w:t>
      </w:r>
      <w:r w:rsidR="00F17E80">
        <w:t>low or declining.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2"/>
        <w:gridCol w:w="2882"/>
      </w:tblGrid>
      <w:tr w:rsidR="00D901FA" w14:paraId="5A16879F" w14:textId="77777777" w:rsidTr="7086BB05">
        <w:tc>
          <w:tcPr>
            <w:tcW w:w="2952" w:type="dxa"/>
          </w:tcPr>
          <w:p w14:paraId="2D990583" w14:textId="15A22BC6" w:rsidR="00F17E80" w:rsidRDefault="00F17E80" w:rsidP="00B5256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B52567">
              <w:rPr>
                <w:b/>
                <w:bCs/>
                <w:sz w:val="20"/>
                <w:szCs w:val="20"/>
              </w:rPr>
              <w:t>Family Partners</w:t>
            </w:r>
            <w:r w:rsidR="0082055F" w:rsidRPr="5AC9307B">
              <w:rPr>
                <w:sz w:val="20"/>
                <w:szCs w:val="20"/>
              </w:rPr>
              <w:t xml:space="preserve"> – think broad (parents, grandparents, adoptive parents, foster parents, kinship caregivers, adult siblings, etc.)</w:t>
            </w:r>
          </w:p>
        </w:tc>
        <w:tc>
          <w:tcPr>
            <w:tcW w:w="2952" w:type="dxa"/>
          </w:tcPr>
          <w:p w14:paraId="62753BB8" w14:textId="502EEAAB" w:rsidR="00F17E80" w:rsidRDefault="00F17E80" w:rsidP="00B5256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5AC9307B">
              <w:rPr>
                <w:sz w:val="20"/>
                <w:szCs w:val="20"/>
              </w:rPr>
              <w:t xml:space="preserve">Coordinator or rep of </w:t>
            </w:r>
            <w:r w:rsidRPr="00AD1C0E">
              <w:rPr>
                <w:b/>
                <w:bCs/>
                <w:sz w:val="20"/>
                <w:szCs w:val="20"/>
              </w:rPr>
              <w:t>preschool disabilities program</w:t>
            </w:r>
          </w:p>
        </w:tc>
        <w:tc>
          <w:tcPr>
            <w:tcW w:w="2952" w:type="dxa"/>
          </w:tcPr>
          <w:p w14:paraId="4680E679" w14:textId="21FDA8FD" w:rsidR="00F17E80" w:rsidRDefault="00F17E80" w:rsidP="00B5256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D1C0E">
              <w:rPr>
                <w:b/>
                <w:bCs/>
                <w:sz w:val="20"/>
                <w:szCs w:val="20"/>
              </w:rPr>
              <w:t>CDSA</w:t>
            </w:r>
            <w:r w:rsidRPr="5AC9307B">
              <w:rPr>
                <w:sz w:val="20"/>
                <w:szCs w:val="20"/>
              </w:rPr>
              <w:t xml:space="preserve"> director or representative</w:t>
            </w:r>
          </w:p>
        </w:tc>
      </w:tr>
      <w:tr w:rsidR="00D901FA" w14:paraId="3D737C8C" w14:textId="77777777" w:rsidTr="7086BB05">
        <w:tc>
          <w:tcPr>
            <w:tcW w:w="2952" w:type="dxa"/>
          </w:tcPr>
          <w:p w14:paraId="2D5DCC88" w14:textId="68A67139" w:rsidR="00F17E80" w:rsidRDefault="00F17E80" w:rsidP="00B5256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5AC9307B">
              <w:rPr>
                <w:sz w:val="20"/>
                <w:szCs w:val="20"/>
              </w:rPr>
              <w:t xml:space="preserve">Family Support Network, ECAC, or other </w:t>
            </w:r>
            <w:r w:rsidRPr="00AD1C0E">
              <w:rPr>
                <w:b/>
                <w:bCs/>
                <w:sz w:val="20"/>
                <w:szCs w:val="20"/>
              </w:rPr>
              <w:t>Family led organization</w:t>
            </w:r>
            <w:r w:rsidRPr="5AC930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2" w:type="dxa"/>
          </w:tcPr>
          <w:p w14:paraId="027C5B38" w14:textId="785FB3EF" w:rsidR="00F17E80" w:rsidRPr="00AD1C0E" w:rsidRDefault="00F17E80" w:rsidP="00B52567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0"/>
                <w:szCs w:val="20"/>
              </w:rPr>
            </w:pPr>
            <w:r w:rsidRPr="00AD1C0E">
              <w:rPr>
                <w:b/>
                <w:bCs/>
                <w:sz w:val="20"/>
                <w:szCs w:val="20"/>
              </w:rPr>
              <w:t xml:space="preserve">Local Management Entity-Managed Care Organizations </w:t>
            </w:r>
          </w:p>
        </w:tc>
        <w:tc>
          <w:tcPr>
            <w:tcW w:w="2952" w:type="dxa"/>
          </w:tcPr>
          <w:p w14:paraId="77C436B4" w14:textId="37A7C2E6" w:rsidR="00F17E80" w:rsidRDefault="00F17E80" w:rsidP="00B5256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5AC9307B">
              <w:rPr>
                <w:sz w:val="20"/>
                <w:szCs w:val="20"/>
              </w:rPr>
              <w:t xml:space="preserve">Local </w:t>
            </w:r>
            <w:r w:rsidRPr="00AD1C0E">
              <w:rPr>
                <w:b/>
                <w:bCs/>
                <w:sz w:val="20"/>
                <w:szCs w:val="20"/>
              </w:rPr>
              <w:t>health department</w:t>
            </w:r>
          </w:p>
        </w:tc>
      </w:tr>
      <w:tr w:rsidR="00D901FA" w14:paraId="20169F06" w14:textId="77777777" w:rsidTr="7086BB05">
        <w:tc>
          <w:tcPr>
            <w:tcW w:w="2952" w:type="dxa"/>
          </w:tcPr>
          <w:p w14:paraId="7F524F93" w14:textId="4B84EBD3" w:rsidR="00F17E80" w:rsidRDefault="00F17E80" w:rsidP="00B5256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D1C0E">
              <w:rPr>
                <w:b/>
                <w:bCs/>
                <w:sz w:val="20"/>
                <w:szCs w:val="20"/>
              </w:rPr>
              <w:t>Smart Start Partnership</w:t>
            </w:r>
            <w:r w:rsidRPr="5AC9307B">
              <w:rPr>
                <w:sz w:val="20"/>
                <w:szCs w:val="20"/>
              </w:rPr>
              <w:t xml:space="preserve"> representative</w:t>
            </w:r>
          </w:p>
        </w:tc>
        <w:tc>
          <w:tcPr>
            <w:tcW w:w="2952" w:type="dxa"/>
          </w:tcPr>
          <w:p w14:paraId="13C3B164" w14:textId="47A39868" w:rsidR="00F17E80" w:rsidRDefault="00F17E80" w:rsidP="00B5256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D1C0E">
              <w:rPr>
                <w:b/>
                <w:bCs/>
                <w:sz w:val="20"/>
                <w:szCs w:val="20"/>
              </w:rPr>
              <w:t>Department of Social Services</w:t>
            </w:r>
            <w:r w:rsidRPr="5AC9307B">
              <w:rPr>
                <w:sz w:val="20"/>
                <w:szCs w:val="20"/>
              </w:rPr>
              <w:t xml:space="preserve"> (DSS) representative</w:t>
            </w:r>
          </w:p>
        </w:tc>
        <w:tc>
          <w:tcPr>
            <w:tcW w:w="2952" w:type="dxa"/>
          </w:tcPr>
          <w:p w14:paraId="55790DE3" w14:textId="3B8F7524" w:rsidR="00F17E80" w:rsidRDefault="00F17E80" w:rsidP="00B5256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D1C0E">
              <w:rPr>
                <w:b/>
                <w:bCs/>
                <w:sz w:val="20"/>
                <w:szCs w:val="20"/>
              </w:rPr>
              <w:t>Medical Community</w:t>
            </w:r>
            <w:r w:rsidRPr="5AC9307B">
              <w:rPr>
                <w:sz w:val="20"/>
                <w:szCs w:val="20"/>
              </w:rPr>
              <w:t>, especially pediatricians or Federally Qualified Health Centers</w:t>
            </w:r>
          </w:p>
        </w:tc>
      </w:tr>
      <w:tr w:rsidR="00D901FA" w14:paraId="17280B42" w14:textId="77777777" w:rsidTr="7086BB05">
        <w:tc>
          <w:tcPr>
            <w:tcW w:w="2952" w:type="dxa"/>
          </w:tcPr>
          <w:p w14:paraId="61B37AD2" w14:textId="52ADC374" w:rsidR="00F17E80" w:rsidRDefault="00F17E80" w:rsidP="00B5256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D1C0E">
              <w:rPr>
                <w:b/>
                <w:bCs/>
                <w:sz w:val="20"/>
                <w:szCs w:val="20"/>
              </w:rPr>
              <w:t>Head Start</w:t>
            </w:r>
            <w:r w:rsidRPr="5AC9307B">
              <w:rPr>
                <w:sz w:val="20"/>
                <w:szCs w:val="20"/>
              </w:rPr>
              <w:t xml:space="preserve"> and/or Early Head Start</w:t>
            </w:r>
          </w:p>
        </w:tc>
        <w:tc>
          <w:tcPr>
            <w:tcW w:w="2952" w:type="dxa"/>
          </w:tcPr>
          <w:p w14:paraId="3D7BA9F9" w14:textId="5F66F520" w:rsidR="00F17E80" w:rsidRDefault="00F17E80" w:rsidP="00B5256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5AC9307B">
              <w:rPr>
                <w:sz w:val="20"/>
                <w:szCs w:val="20"/>
              </w:rPr>
              <w:t>Child</w:t>
            </w:r>
            <w:r w:rsidR="002517B8">
              <w:rPr>
                <w:sz w:val="20"/>
                <w:szCs w:val="20"/>
              </w:rPr>
              <w:t xml:space="preserve"> </w:t>
            </w:r>
            <w:r w:rsidRPr="5AC9307B">
              <w:rPr>
                <w:sz w:val="20"/>
                <w:szCs w:val="20"/>
              </w:rPr>
              <w:t xml:space="preserve">care community and </w:t>
            </w:r>
            <w:r w:rsidRPr="00AD1C0E">
              <w:rPr>
                <w:b/>
                <w:bCs/>
                <w:sz w:val="20"/>
                <w:szCs w:val="20"/>
              </w:rPr>
              <w:t>Child</w:t>
            </w:r>
            <w:r w:rsidR="002517B8" w:rsidRPr="00AD1C0E">
              <w:rPr>
                <w:b/>
                <w:bCs/>
                <w:sz w:val="20"/>
                <w:szCs w:val="20"/>
              </w:rPr>
              <w:t xml:space="preserve"> </w:t>
            </w:r>
            <w:r w:rsidRPr="00AD1C0E">
              <w:rPr>
                <w:b/>
                <w:bCs/>
                <w:sz w:val="20"/>
                <w:szCs w:val="20"/>
              </w:rPr>
              <w:t>care</w:t>
            </w:r>
            <w:r w:rsidRPr="5AC9307B">
              <w:rPr>
                <w:sz w:val="20"/>
                <w:szCs w:val="20"/>
              </w:rPr>
              <w:t xml:space="preserve"> Resource and referral agencies</w:t>
            </w:r>
          </w:p>
        </w:tc>
        <w:tc>
          <w:tcPr>
            <w:tcW w:w="2952" w:type="dxa"/>
          </w:tcPr>
          <w:p w14:paraId="4C348D93" w14:textId="0D97C1D2" w:rsidR="00F17E80" w:rsidRDefault="00F17E80" w:rsidP="00B5256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5AC9307B">
              <w:rPr>
                <w:sz w:val="20"/>
                <w:szCs w:val="20"/>
              </w:rPr>
              <w:t xml:space="preserve">Department of Public Instruction from the </w:t>
            </w:r>
            <w:r w:rsidRPr="00AD1C0E">
              <w:rPr>
                <w:b/>
                <w:bCs/>
                <w:sz w:val="20"/>
                <w:szCs w:val="20"/>
              </w:rPr>
              <w:t>Early Learning Sensory Support</w:t>
            </w:r>
            <w:r w:rsidRPr="5AC9307B">
              <w:rPr>
                <w:sz w:val="20"/>
                <w:szCs w:val="20"/>
              </w:rPr>
              <w:t xml:space="preserve"> programs</w:t>
            </w:r>
          </w:p>
        </w:tc>
      </w:tr>
      <w:tr w:rsidR="00D901FA" w14:paraId="77CDDC47" w14:textId="77777777" w:rsidTr="7086BB05">
        <w:tc>
          <w:tcPr>
            <w:tcW w:w="2952" w:type="dxa"/>
          </w:tcPr>
          <w:p w14:paraId="529C5E1A" w14:textId="058E60E6" w:rsidR="00F17E80" w:rsidRPr="00AD1C0E" w:rsidRDefault="00F17E80" w:rsidP="00B52567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0"/>
                <w:szCs w:val="20"/>
              </w:rPr>
            </w:pPr>
            <w:r w:rsidRPr="00AD1C0E">
              <w:rPr>
                <w:b/>
                <w:bCs/>
                <w:sz w:val="20"/>
                <w:szCs w:val="20"/>
              </w:rPr>
              <w:t>Military Early Intervention programs</w:t>
            </w:r>
          </w:p>
        </w:tc>
        <w:tc>
          <w:tcPr>
            <w:tcW w:w="2952" w:type="dxa"/>
          </w:tcPr>
          <w:p w14:paraId="53D2DFBD" w14:textId="789A51A6" w:rsidR="00F17E80" w:rsidRDefault="00F17E80" w:rsidP="00B5256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5AC9307B">
              <w:rPr>
                <w:sz w:val="20"/>
                <w:szCs w:val="20"/>
              </w:rPr>
              <w:t xml:space="preserve">Local </w:t>
            </w:r>
            <w:r w:rsidRPr="00AD1C0E">
              <w:rPr>
                <w:b/>
                <w:bCs/>
                <w:sz w:val="20"/>
                <w:szCs w:val="20"/>
              </w:rPr>
              <w:t>ABA clinic</w:t>
            </w:r>
            <w:r w:rsidRPr="5AC9307B">
              <w:rPr>
                <w:sz w:val="20"/>
                <w:szCs w:val="20"/>
              </w:rPr>
              <w:t xml:space="preserve"> providers</w:t>
            </w:r>
          </w:p>
        </w:tc>
        <w:tc>
          <w:tcPr>
            <w:tcW w:w="2952" w:type="dxa"/>
          </w:tcPr>
          <w:p w14:paraId="5BDE3CC3" w14:textId="0187349E" w:rsidR="00F17E80" w:rsidRDefault="00B929CD" w:rsidP="00B5256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5AC9307B">
              <w:rPr>
                <w:sz w:val="20"/>
                <w:szCs w:val="20"/>
              </w:rPr>
              <w:t xml:space="preserve">Representatives from </w:t>
            </w:r>
            <w:r w:rsidR="00F17E80" w:rsidRPr="00AD1C0E">
              <w:rPr>
                <w:b/>
                <w:bCs/>
                <w:sz w:val="20"/>
                <w:szCs w:val="20"/>
              </w:rPr>
              <w:t xml:space="preserve">grassroots </w:t>
            </w:r>
            <w:proofErr w:type="gramStart"/>
            <w:r w:rsidR="00F17E80" w:rsidRPr="00AD1C0E">
              <w:rPr>
                <w:b/>
                <w:bCs/>
                <w:sz w:val="20"/>
                <w:szCs w:val="20"/>
              </w:rPr>
              <w:t>disability focused</w:t>
            </w:r>
            <w:proofErr w:type="gramEnd"/>
            <w:r w:rsidR="00F17E80" w:rsidRPr="00AD1C0E">
              <w:rPr>
                <w:b/>
                <w:bCs/>
                <w:sz w:val="20"/>
                <w:szCs w:val="20"/>
              </w:rPr>
              <w:t xml:space="preserve"> organizations</w:t>
            </w:r>
            <w:r w:rsidR="00F17E80" w:rsidRPr="5AC9307B">
              <w:rPr>
                <w:sz w:val="20"/>
                <w:szCs w:val="20"/>
              </w:rPr>
              <w:t>, especially those representing historically under-represented groups</w:t>
            </w:r>
          </w:p>
        </w:tc>
      </w:tr>
      <w:tr w:rsidR="00D901FA" w14:paraId="325E062C" w14:textId="77777777" w:rsidTr="7086BB05">
        <w:tc>
          <w:tcPr>
            <w:tcW w:w="2952" w:type="dxa"/>
          </w:tcPr>
          <w:p w14:paraId="1849F98A" w14:textId="247205F5" w:rsidR="00FD2892" w:rsidRDefault="00FD2892" w:rsidP="00B5256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D1C0E">
              <w:rPr>
                <w:b/>
                <w:bCs/>
                <w:sz w:val="20"/>
                <w:szCs w:val="20"/>
              </w:rPr>
              <w:t xml:space="preserve">NICU </w:t>
            </w:r>
            <w:r w:rsidRPr="5AC9307B">
              <w:rPr>
                <w:sz w:val="20"/>
                <w:szCs w:val="20"/>
              </w:rPr>
              <w:t>representatives</w:t>
            </w:r>
          </w:p>
        </w:tc>
        <w:tc>
          <w:tcPr>
            <w:tcW w:w="2952" w:type="dxa"/>
          </w:tcPr>
          <w:p w14:paraId="68F6D34F" w14:textId="15A211F5" w:rsidR="00FD2892" w:rsidRPr="00AD1C0E" w:rsidRDefault="00FD2892" w:rsidP="00B52567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0"/>
                <w:szCs w:val="20"/>
              </w:rPr>
            </w:pPr>
            <w:r w:rsidRPr="00AD1C0E">
              <w:rPr>
                <w:b/>
                <w:bCs/>
                <w:sz w:val="20"/>
                <w:szCs w:val="20"/>
              </w:rPr>
              <w:t>Business community</w:t>
            </w:r>
          </w:p>
        </w:tc>
        <w:tc>
          <w:tcPr>
            <w:tcW w:w="2952" w:type="dxa"/>
          </w:tcPr>
          <w:p w14:paraId="60157608" w14:textId="50BA6360" w:rsidR="00FD2892" w:rsidRPr="00AD1C0E" w:rsidRDefault="00FD2892" w:rsidP="00B52567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0"/>
                <w:szCs w:val="20"/>
              </w:rPr>
            </w:pPr>
            <w:r w:rsidRPr="00AD1C0E">
              <w:rPr>
                <w:b/>
                <w:bCs/>
                <w:sz w:val="20"/>
                <w:szCs w:val="20"/>
              </w:rPr>
              <w:t>Infant-toddler specialists</w:t>
            </w:r>
          </w:p>
        </w:tc>
      </w:tr>
      <w:tr w:rsidR="00D901FA" w14:paraId="5557CE81" w14:textId="77777777" w:rsidTr="7086BB05">
        <w:tc>
          <w:tcPr>
            <w:tcW w:w="2952" w:type="dxa"/>
          </w:tcPr>
          <w:p w14:paraId="224FD769" w14:textId="152ACB1A" w:rsidR="00FD2892" w:rsidRPr="00AD1C0E" w:rsidRDefault="00FD2892" w:rsidP="00B52567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0"/>
                <w:szCs w:val="20"/>
              </w:rPr>
            </w:pPr>
            <w:r w:rsidRPr="00AD1C0E">
              <w:rPr>
                <w:b/>
                <w:bCs/>
                <w:sz w:val="20"/>
                <w:szCs w:val="20"/>
              </w:rPr>
              <w:t>Elected officials</w:t>
            </w:r>
          </w:p>
        </w:tc>
        <w:tc>
          <w:tcPr>
            <w:tcW w:w="2952" w:type="dxa"/>
          </w:tcPr>
          <w:p w14:paraId="6C07AA77" w14:textId="25108EC8" w:rsidR="00FD2892" w:rsidRDefault="00FD2892" w:rsidP="00B5256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5AC9307B">
              <w:rPr>
                <w:sz w:val="20"/>
                <w:szCs w:val="20"/>
              </w:rPr>
              <w:t xml:space="preserve">Local </w:t>
            </w:r>
            <w:r w:rsidRPr="00AD1C0E">
              <w:rPr>
                <w:b/>
                <w:bCs/>
                <w:sz w:val="20"/>
                <w:szCs w:val="20"/>
              </w:rPr>
              <w:t>community college</w:t>
            </w:r>
            <w:r w:rsidRPr="5AC9307B">
              <w:rPr>
                <w:sz w:val="20"/>
                <w:szCs w:val="20"/>
              </w:rPr>
              <w:t xml:space="preserve"> and </w:t>
            </w:r>
            <w:r w:rsidRPr="00AD1C0E">
              <w:rPr>
                <w:b/>
                <w:bCs/>
                <w:sz w:val="20"/>
                <w:szCs w:val="20"/>
              </w:rPr>
              <w:t>university</w:t>
            </w:r>
            <w:r w:rsidRPr="5AC9307B">
              <w:rPr>
                <w:sz w:val="20"/>
                <w:szCs w:val="20"/>
              </w:rPr>
              <w:t xml:space="preserve"> professors in the field (researchers, professors, etc.) </w:t>
            </w:r>
          </w:p>
        </w:tc>
        <w:tc>
          <w:tcPr>
            <w:tcW w:w="2952" w:type="dxa"/>
          </w:tcPr>
          <w:p w14:paraId="7D237BF8" w14:textId="7DF726AC" w:rsidR="00FD2892" w:rsidRDefault="4E6D26C5" w:rsidP="00B52567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5AC9307B">
              <w:rPr>
                <w:sz w:val="20"/>
                <w:szCs w:val="20"/>
              </w:rPr>
              <w:t xml:space="preserve">Representative from </w:t>
            </w:r>
            <w:proofErr w:type="gramStart"/>
            <w:r w:rsidR="00AD1C0E" w:rsidRPr="00AD1C0E">
              <w:rPr>
                <w:b/>
                <w:bCs/>
                <w:sz w:val="20"/>
                <w:szCs w:val="20"/>
              </w:rPr>
              <w:t>faith based</w:t>
            </w:r>
            <w:proofErr w:type="gramEnd"/>
            <w:r w:rsidR="00AD1C0E" w:rsidRPr="00AD1C0E">
              <w:rPr>
                <w:b/>
                <w:bCs/>
                <w:sz w:val="20"/>
                <w:szCs w:val="20"/>
              </w:rPr>
              <w:t xml:space="preserve"> organizations</w:t>
            </w:r>
            <w:r w:rsidRPr="5AC9307B">
              <w:rPr>
                <w:sz w:val="20"/>
                <w:szCs w:val="20"/>
              </w:rPr>
              <w:t xml:space="preserve"> with interest in supporting LICC work</w:t>
            </w:r>
          </w:p>
        </w:tc>
      </w:tr>
    </w:tbl>
    <w:p w14:paraId="05CECFB7" w14:textId="77777777" w:rsidR="00C77F97" w:rsidRDefault="00C77F97"/>
    <w:p w14:paraId="273B6AC7" w14:textId="1A83C048" w:rsidR="00DB41FE" w:rsidRDefault="00F64EEF">
      <w:pPr>
        <w:pStyle w:val="Heading2"/>
      </w:pPr>
      <w:r>
        <w:lastRenderedPageBreak/>
        <w:t xml:space="preserve">Step 2: Get Organized (Weeks </w:t>
      </w:r>
      <w:r w:rsidR="004437E5">
        <w:t>3</w:t>
      </w:r>
      <w:r>
        <w:t>–4)</w:t>
      </w:r>
    </w:p>
    <w:p w14:paraId="13F28D79" w14:textId="7EFAB663" w:rsidR="00FD2892" w:rsidRDefault="007411B9">
      <w:r>
        <w:rPr>
          <w:noProof/>
        </w:rPr>
        <w:drawing>
          <wp:anchor distT="0" distB="0" distL="114300" distR="114300" simplePos="0" relativeHeight="251658243" behindDoc="0" locked="0" layoutInCell="1" allowOverlap="1" wp14:anchorId="57778BD5" wp14:editId="3EFEC3A4">
            <wp:simplePos x="0" y="0"/>
            <wp:positionH relativeFrom="column">
              <wp:posOffset>4629150</wp:posOffset>
            </wp:positionH>
            <wp:positionV relativeFrom="paragraph">
              <wp:posOffset>421640</wp:posOffset>
            </wp:positionV>
            <wp:extent cx="1628140" cy="1309370"/>
            <wp:effectExtent l="0" t="0" r="0" b="5080"/>
            <wp:wrapSquare wrapText="bothSides"/>
            <wp:docPr id="700486468" name="Picture 4" descr="Three bees looking at a red book, one bee holding a teddy bear, one bee holding the book wearing red glasses, and one bee standing next to them">
              <a:extLst xmlns:a="http://schemas.openxmlformats.org/drawingml/2006/main">
                <a:ext uri="{FF2B5EF4-FFF2-40B4-BE49-F238E27FC236}">
                  <a16:creationId xmlns:a16="http://schemas.microsoft.com/office/drawing/2014/main" id="{D538D4F4-D8DE-488C-81B7-94E09F9E72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86468" name="Picture 4" descr="Three bees looking at a red book, one bee holding a teddy bear, one bee holding the book wearing red glasses, and one bee standing next to them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EEF">
        <w:t>Set a consistent meeting schedule. Use a simple agenda</w:t>
      </w:r>
      <w:r w:rsidR="3EA0E0B8">
        <w:t xml:space="preserve">, take </w:t>
      </w:r>
      <w:r w:rsidR="00F64EEF">
        <w:t>notes</w:t>
      </w:r>
      <w:r w:rsidR="3EA0E0B8">
        <w:t xml:space="preserve">, and ensure notes are shared. </w:t>
      </w:r>
      <w:r w:rsidR="00B929CD">
        <w:t xml:space="preserve">Most LICCs around North Carolina have virtual monthly meetings. Those with access to space utilize in-person “lunch in’s” or quarterly in-person meetings to bolster connections. Also consider attending an LICC meeting </w:t>
      </w:r>
      <w:r w:rsidR="42F15BED">
        <w:t>in</w:t>
      </w:r>
      <w:r w:rsidR="00B929CD">
        <w:t xml:space="preserve"> a neighboring county or a</w:t>
      </w:r>
      <w:r w:rsidR="2CA721D9">
        <w:t xml:space="preserve"> virtual meeting run by an </w:t>
      </w:r>
      <w:r w:rsidR="00B929CD">
        <w:t>established LICC</w:t>
      </w:r>
      <w:r w:rsidR="73269C24">
        <w:t xml:space="preserve"> in another part of the state</w:t>
      </w:r>
      <w:r w:rsidR="00B929CD">
        <w:t xml:space="preserve"> to get a feel for how they run.</w:t>
      </w:r>
      <w:r w:rsidR="00FD2892">
        <w:t xml:space="preserve"> LICC Chair contacts by county can be found on the </w:t>
      </w:r>
      <w:hyperlink r:id="rId12">
        <w:r w:rsidR="00FD2892" w:rsidRPr="7086BB05">
          <w:rPr>
            <w:rStyle w:val="Hyperlink"/>
          </w:rPr>
          <w:t>LICC Resource Padlet</w:t>
        </w:r>
      </w:hyperlink>
      <w:r w:rsidR="00FD2892">
        <w:t>.</w:t>
      </w:r>
    </w:p>
    <w:p w14:paraId="0AB8BCF1" w14:textId="2BE2D8B2" w:rsidR="00DB41FE" w:rsidRDefault="00F64EEF">
      <w:pPr>
        <w:pStyle w:val="Heading2"/>
      </w:pPr>
      <w:r>
        <w:t xml:space="preserve">Step 3: </w:t>
      </w:r>
      <w:r w:rsidR="7091A400">
        <w:t xml:space="preserve">Learn about </w:t>
      </w:r>
      <w:r>
        <w:t>Child Find</w:t>
      </w:r>
      <w:r w:rsidR="00FD2892">
        <w:t xml:space="preserve"> and Explore Mini-Grant Opportunities</w:t>
      </w:r>
      <w:r>
        <w:t xml:space="preserve"> (Month 2)</w:t>
      </w:r>
    </w:p>
    <w:p w14:paraId="47087748" w14:textId="1DFAFFC6" w:rsidR="00FD2892" w:rsidRDefault="00FD2892">
      <w:r>
        <w:t xml:space="preserve">You can learn more about Child Find, Child Find Activity reports, and Mini-Grant opportunities in the LICC Manual and on the </w:t>
      </w:r>
      <w:hyperlink r:id="rId13">
        <w:r w:rsidRPr="54206434">
          <w:rPr>
            <w:rStyle w:val="Hyperlink"/>
          </w:rPr>
          <w:t>LICC Resource Padlet</w:t>
        </w:r>
      </w:hyperlink>
      <w:r>
        <w:t xml:space="preserve">. LICC Chairs and Co-chairs can apply for mini-grant funding between September </w:t>
      </w:r>
      <w:r w:rsidR="002517B8">
        <w:t>1 - 30</w:t>
      </w:r>
      <w:r>
        <w:t xml:space="preserve"> of each year. Grants are $800 and are managed by the Winston-Salem CDSA. </w:t>
      </w:r>
      <w:r w:rsidR="027AE5A2">
        <w:t xml:space="preserve">The application documents are also on the </w:t>
      </w:r>
      <w:hyperlink r:id="rId14">
        <w:r w:rsidR="027AE5A2" w:rsidRPr="0169400C">
          <w:rPr>
            <w:rStyle w:val="Hyperlink"/>
          </w:rPr>
          <w:t>LICC Resource Padlet</w:t>
        </w:r>
      </w:hyperlink>
      <w:r w:rsidR="027AE5A2">
        <w:t xml:space="preserve">. </w:t>
      </w:r>
      <w:r>
        <w:t xml:space="preserve">LICCs have used the funds </w:t>
      </w:r>
      <w:r w:rsidR="00410A83">
        <w:t xml:space="preserve">to host resource fairs/diaper drives, a breakfast with Santa, </w:t>
      </w:r>
      <w:r w:rsidR="7F8BEB0D">
        <w:t>distribute</w:t>
      </w:r>
      <w:r w:rsidR="65F1F76F">
        <w:t xml:space="preserve"> </w:t>
      </w:r>
      <w:r w:rsidR="7F8BEB0D">
        <w:t>sensory</w:t>
      </w:r>
      <w:r w:rsidR="00410A83">
        <w:t xml:space="preserve"> toys</w:t>
      </w:r>
      <w:r w:rsidR="42207097">
        <w:t xml:space="preserve"> to local clinics or child care centers</w:t>
      </w:r>
      <w:r w:rsidR="00410A83">
        <w:t xml:space="preserve">, </w:t>
      </w:r>
      <w:r w:rsidR="0B2C8BE0">
        <w:t>pa</w:t>
      </w:r>
      <w:r w:rsidR="0955A515">
        <w:t xml:space="preserve">y </w:t>
      </w:r>
      <w:r w:rsidR="7F8BEB0D">
        <w:t>parent</w:t>
      </w:r>
      <w:r w:rsidR="00410A83">
        <w:t xml:space="preserve"> stipends </w:t>
      </w:r>
      <w:r w:rsidR="403B9D43">
        <w:t>for meeting attendance and/</w:t>
      </w:r>
      <w:r w:rsidR="00410A83">
        <w:t>or pay for child</w:t>
      </w:r>
      <w:r w:rsidR="00A70DD6">
        <w:t xml:space="preserve"> </w:t>
      </w:r>
      <w:r w:rsidR="00410A83">
        <w:t xml:space="preserve">care during meetings, and even to supplement food supplies at a local food bank.  </w:t>
      </w:r>
    </w:p>
    <w:p w14:paraId="6C350D10" w14:textId="73347A83" w:rsidR="00DB41FE" w:rsidRDefault="00052288">
      <w:r>
        <w:rPr>
          <w:noProof/>
        </w:rPr>
        <w:drawing>
          <wp:anchor distT="0" distB="0" distL="114300" distR="114300" simplePos="0" relativeHeight="251658244" behindDoc="0" locked="0" layoutInCell="1" allowOverlap="1" wp14:anchorId="67335831" wp14:editId="7BA0F8AC">
            <wp:simplePos x="0" y="0"/>
            <wp:positionH relativeFrom="column">
              <wp:posOffset>4616450</wp:posOffset>
            </wp:positionH>
            <wp:positionV relativeFrom="paragraph">
              <wp:posOffset>304165</wp:posOffset>
            </wp:positionV>
            <wp:extent cx="1720850" cy="1720850"/>
            <wp:effectExtent l="0" t="0" r="0" b="0"/>
            <wp:wrapSquare wrapText="bothSides"/>
            <wp:docPr id="622861998" name="Picture 5" descr="Bee holding a red question mark">
              <a:extLst xmlns:a="http://schemas.openxmlformats.org/drawingml/2006/main">
                <a:ext uri="{FF2B5EF4-FFF2-40B4-BE49-F238E27FC236}">
                  <a16:creationId xmlns:a16="http://schemas.microsoft.com/office/drawing/2014/main" id="{8273D373-11E8-4154-91D8-273C74F105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861998" name="Picture 5" descr="Bee holding a red question mark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A83">
        <w:t xml:space="preserve">The key here is to start small and </w:t>
      </w:r>
      <w:r w:rsidR="00A70DD6">
        <w:t xml:space="preserve">not to </w:t>
      </w:r>
      <w:r w:rsidR="00410A83">
        <w:t xml:space="preserve">get overwhelmed. You can share materials, </w:t>
      </w:r>
      <w:r w:rsidR="00F64EEF">
        <w:t xml:space="preserve">attend events, </w:t>
      </w:r>
      <w:r w:rsidR="00410A83">
        <w:t xml:space="preserve">or just focus on </w:t>
      </w:r>
      <w:r w:rsidR="00F64EEF">
        <w:t>build</w:t>
      </w:r>
      <w:r w:rsidR="00410A83">
        <w:t>ing</w:t>
      </w:r>
      <w:r w:rsidR="00F64EEF">
        <w:t xml:space="preserve"> </w:t>
      </w:r>
      <w:proofErr w:type="gramStart"/>
      <w:r w:rsidR="00F64EEF">
        <w:t>one</w:t>
      </w:r>
      <w:proofErr w:type="gramEnd"/>
      <w:r w:rsidR="00F64EEF">
        <w:t xml:space="preserve"> new partnership</w:t>
      </w:r>
      <w:r w:rsidR="00410A83">
        <w:t xml:space="preserve"> this month.</w:t>
      </w:r>
    </w:p>
    <w:p w14:paraId="4A4322C3" w14:textId="32360A67" w:rsidR="00DB41FE" w:rsidRDefault="00F64EEF">
      <w:pPr>
        <w:pStyle w:val="Heading2"/>
      </w:pPr>
      <w:r>
        <w:t xml:space="preserve">Step 4: </w:t>
      </w:r>
      <w:r w:rsidR="0082055F">
        <w:t xml:space="preserve">Ask Questions and </w:t>
      </w:r>
      <w:r>
        <w:t>Set Priorities (Month 2</w:t>
      </w:r>
      <w:r w:rsidR="00A70DD6">
        <w:t xml:space="preserve"> </w:t>
      </w:r>
      <w:r>
        <w:t>–</w:t>
      </w:r>
      <w:r w:rsidR="00A70DD6">
        <w:t xml:space="preserve"> </w:t>
      </w:r>
      <w:r>
        <w:t>3)</w:t>
      </w:r>
    </w:p>
    <w:p w14:paraId="1CDCF0D7" w14:textId="3FFBE4D8" w:rsidR="0082055F" w:rsidRDefault="70C9411B">
      <w:r>
        <w:t>Ok – you’ve been at this for a bit and your feet are wet. This is the time the questions start coming in</w:t>
      </w:r>
      <w:r w:rsidR="729CF991">
        <w:t>,</w:t>
      </w:r>
      <w:r>
        <w:t xml:space="preserve"> and you probably have a list of things you </w:t>
      </w:r>
      <w:r w:rsidR="00BF2503">
        <w:t xml:space="preserve">are </w:t>
      </w:r>
      <w:r>
        <w:t xml:space="preserve">still </w:t>
      </w:r>
      <w:r w:rsidR="00BF2503">
        <w:t>trying to</w:t>
      </w:r>
      <w:r>
        <w:t xml:space="preserve"> figure out. Hop on the </w:t>
      </w:r>
      <w:hyperlink r:id="rId16">
        <w:r w:rsidRPr="280EECEF">
          <w:rPr>
            <w:rStyle w:val="Hyperlink"/>
          </w:rPr>
          <w:t>LICC Resource Padlet</w:t>
        </w:r>
      </w:hyperlink>
      <w:r>
        <w:t xml:space="preserve"> and request personalized technical assistance support and/or post your questions to the moderated Q&amp;A. We</w:t>
      </w:r>
      <w:r w:rsidR="5CD371B9">
        <w:t>’ve</w:t>
      </w:r>
      <w:r>
        <w:t xml:space="preserve"> got you!</w:t>
      </w:r>
    </w:p>
    <w:p w14:paraId="0C9967BD" w14:textId="61EEC1B9" w:rsidR="00DB41FE" w:rsidRDefault="70C9411B">
      <w:r>
        <w:t xml:space="preserve">Once your questions are answered and </w:t>
      </w:r>
      <w:r w:rsidR="14512030">
        <w:t>you</w:t>
      </w:r>
      <w:r w:rsidR="660391B7">
        <w:t>’</w:t>
      </w:r>
      <w:r w:rsidR="14512030">
        <w:t>r</w:t>
      </w:r>
      <w:r w:rsidR="45ACDF27">
        <w:t>e</w:t>
      </w:r>
      <w:r>
        <w:t xml:space="preserve"> feeling </w:t>
      </w:r>
      <w:r w:rsidR="2F568265">
        <w:t xml:space="preserve">more </w:t>
      </w:r>
      <w:r>
        <w:t>confident, c</w:t>
      </w:r>
      <w:r w:rsidR="7A306DFD">
        <w:t>hoose 1–2 priorities</w:t>
      </w:r>
      <w:r>
        <w:t xml:space="preserve"> for your LICC</w:t>
      </w:r>
      <w:r w:rsidR="7A306DFD">
        <w:t xml:space="preserve"> based on community needs</w:t>
      </w:r>
      <w:r>
        <w:t xml:space="preserve">, </w:t>
      </w:r>
      <w:r w:rsidR="7A306DFD">
        <w:t>gaps</w:t>
      </w:r>
      <w:r>
        <w:t xml:space="preserve">, and any interests or concerns that have surfaced in your LICC meetings so far. This is where your leadership </w:t>
      </w:r>
      <w:r w:rsidR="1B7C0286">
        <w:t xml:space="preserve">shines </w:t>
      </w:r>
      <w:r>
        <w:t>and the group will thank you for</w:t>
      </w:r>
      <w:r w:rsidR="0E8DF563">
        <w:t xml:space="preserve"> guiding them toward action and purpose. </w:t>
      </w:r>
      <w:r>
        <w:t xml:space="preserve">  </w:t>
      </w:r>
    </w:p>
    <w:p w14:paraId="742D696A" w14:textId="77777777" w:rsidR="00DB41FE" w:rsidRDefault="00F64EEF">
      <w:pPr>
        <w:pStyle w:val="Heading2"/>
      </w:pPr>
      <w:r>
        <w:t xml:space="preserve">Step 5: </w:t>
      </w:r>
      <w:proofErr w:type="gramStart"/>
      <w:r>
        <w:t>Take Action</w:t>
      </w:r>
      <w:proofErr w:type="gramEnd"/>
      <w:r>
        <w:t xml:space="preserve"> (Month 3)</w:t>
      </w:r>
    </w:p>
    <w:p w14:paraId="00878EF4" w14:textId="330D9C7C" w:rsidR="00DB41FE" w:rsidRDefault="40F193E9">
      <w:r>
        <w:t xml:space="preserve">At this point, you </w:t>
      </w:r>
      <w:r w:rsidR="1C59175A">
        <w:t xml:space="preserve">may </w:t>
      </w:r>
      <w:r>
        <w:t>have a plan for your Child Find activity</w:t>
      </w:r>
      <w:r w:rsidR="5AD10A75">
        <w:t>. C</w:t>
      </w:r>
      <w:r>
        <w:t xml:space="preserve">onsider </w:t>
      </w:r>
      <w:r w:rsidR="60028A29">
        <w:t xml:space="preserve">structuring </w:t>
      </w:r>
      <w:r w:rsidR="00C958A1">
        <w:t>meeting</w:t>
      </w:r>
      <w:r w:rsidR="60028A29">
        <w:t xml:space="preserve"> agendas so they offer a balance of </w:t>
      </w:r>
      <w:r>
        <w:t>community updates with planning your event</w:t>
      </w:r>
      <w:r w:rsidR="228AA139">
        <w:t xml:space="preserve"> or activity.</w:t>
      </w:r>
      <w:r w:rsidR="30DFA122">
        <w:t xml:space="preserve"> </w:t>
      </w:r>
    </w:p>
    <w:p w14:paraId="0D320AB6" w14:textId="6FCDC2B1" w:rsidR="00DB41FE" w:rsidRDefault="1021A6E7">
      <w:r>
        <w:t xml:space="preserve">Participants will come to meetings when they are useful, relevant, and connected to action. The more you can utilize meeting time to feel like networking and </w:t>
      </w:r>
      <w:r w:rsidR="00C958A1">
        <w:t>problem-solving,</w:t>
      </w:r>
      <w:r>
        <w:t xml:space="preserve"> the more </w:t>
      </w:r>
      <w:r w:rsidR="1BEC3D85">
        <w:t xml:space="preserve">you will expand outreach, strengthen partnerships, and improve access to early intervention services. </w:t>
      </w:r>
    </w:p>
    <w:p w14:paraId="53D19DB1" w14:textId="77777777" w:rsidR="00DB41FE" w:rsidRDefault="00F64EEF">
      <w:pPr>
        <w:pStyle w:val="Heading1"/>
      </w:pPr>
      <w:r>
        <w:lastRenderedPageBreak/>
        <w:t>Keys to Success</w:t>
      </w:r>
    </w:p>
    <w:p w14:paraId="2B9B6445" w14:textId="5FE19E06" w:rsidR="00DB41FE" w:rsidRDefault="00F64EEF">
      <w:r>
        <w:t>• Consistent meetings</w:t>
      </w:r>
      <w:r>
        <w:br/>
        <w:t>• Active, diverse membership</w:t>
      </w:r>
      <w:r>
        <w:br/>
        <w:t>• Clear priorities</w:t>
      </w:r>
      <w:r>
        <w:br/>
        <w:t>• Real action and follow-through</w:t>
      </w:r>
      <w:r>
        <w:br/>
        <w:t xml:space="preserve">• </w:t>
      </w:r>
      <w:r w:rsidRPr="0082055F">
        <w:rPr>
          <w:b/>
          <w:bCs/>
        </w:rPr>
        <w:t>Strong family engagement</w:t>
      </w:r>
    </w:p>
    <w:p w14:paraId="1CA60C20" w14:textId="77777777" w:rsidR="00DB41FE" w:rsidRDefault="00F64EEF">
      <w:pPr>
        <w:pStyle w:val="Heading1"/>
      </w:pPr>
      <w:r>
        <w:t>Final Thought</w:t>
      </w:r>
    </w:p>
    <w:p w14:paraId="292BF22E" w14:textId="77777777" w:rsidR="00DB41FE" w:rsidRDefault="00F64EEF">
      <w:r>
        <w:t>You don’t have to do everything. Your job is to connect, focus, and move the work forward.</w:t>
      </w:r>
    </w:p>
    <w:p w14:paraId="678F15C6" w14:textId="3DE19644" w:rsidR="00FD2892" w:rsidRDefault="00FD2892" w:rsidP="00FD2892">
      <w:pPr>
        <w:pStyle w:val="Heading1"/>
      </w:pPr>
      <w:r>
        <w:t>Important Links and Contacts</w:t>
      </w:r>
    </w:p>
    <w:p w14:paraId="10A4B6D3" w14:textId="729337BE" w:rsidR="0082055F" w:rsidRDefault="0F3478BF" w:rsidP="0082055F">
      <w:r>
        <w:t xml:space="preserve">North Carolina LICC Resource Padlet: </w:t>
      </w:r>
      <w:hyperlink r:id="rId17">
        <w:r w:rsidR="0082055F" w:rsidRPr="7086BB05">
          <w:rPr>
            <w:rStyle w:val="Hyperlink"/>
          </w:rPr>
          <w:t>https://padlet.com/LICCNetwork/north-carolina-s-licc-resource-padlet-fg3gmq0eb9yat1oq</w:t>
        </w:r>
      </w:hyperlink>
    </w:p>
    <w:p w14:paraId="19337EAB" w14:textId="071D5790" w:rsidR="00FD2892" w:rsidRDefault="3A04BBB8">
      <w:r>
        <w:t xml:space="preserve">North Carolina Infant Toddler Program: </w:t>
      </w:r>
      <w:hyperlink r:id="rId18">
        <w:r w:rsidRPr="7086BB05">
          <w:rPr>
            <w:rStyle w:val="Hyperlink"/>
          </w:rPr>
          <w:t>https://www.ncdhhs.gov/itp-beearly</w:t>
        </w:r>
      </w:hyperlink>
      <w:r>
        <w:t xml:space="preserve"> </w:t>
      </w:r>
    </w:p>
    <w:p w14:paraId="74103685" w14:textId="13E1FB4B" w:rsidR="1D758BE6" w:rsidRDefault="1D758BE6">
      <w:r>
        <w:t xml:space="preserve">Statewide Interagency Coordinating Council Website: </w:t>
      </w:r>
      <w:hyperlink r:id="rId19">
        <w:r w:rsidRPr="7086BB05">
          <w:rPr>
            <w:rStyle w:val="Hyperlink"/>
          </w:rPr>
          <w:t>https://www.ncdhhs.gov/divisions/child-and-family-well-being/north-carolina-infant-toddler-program-nc-itp/councils</w:t>
        </w:r>
      </w:hyperlink>
      <w:r>
        <w:t xml:space="preserve"> </w:t>
      </w:r>
    </w:p>
    <w:p w14:paraId="0BD78D80" w14:textId="1A5CDAAF" w:rsidR="20A69D4C" w:rsidRDefault="20A69D4C" w:rsidP="7086BB05">
      <w:pPr>
        <w:rPr>
          <w:color w:val="000000" w:themeColor="text1"/>
        </w:rPr>
      </w:pPr>
      <w:r w:rsidRPr="6ADFF27D">
        <w:rPr>
          <w:color w:val="000000" w:themeColor="text1"/>
        </w:rPr>
        <w:t xml:space="preserve">Brian Deese, Deputy Director of Early Intervention and Part C Coordinator </w:t>
      </w:r>
      <w:hyperlink r:id="rId20">
        <w:r w:rsidRPr="6ADFF27D">
          <w:rPr>
            <w:rStyle w:val="Hyperlink"/>
          </w:rPr>
          <w:t>brian.deese@dhhs.nc.gov</w:t>
        </w:r>
      </w:hyperlink>
    </w:p>
    <w:p w14:paraId="7924F76E" w14:textId="030A31C1" w:rsidR="20A69D4C" w:rsidRDefault="20A69D4C" w:rsidP="7086BB05">
      <w:pPr>
        <w:rPr>
          <w:color w:val="000000" w:themeColor="text1"/>
        </w:rPr>
      </w:pPr>
      <w:r w:rsidRPr="6ADFF27D">
        <w:rPr>
          <w:color w:val="000000" w:themeColor="text1"/>
        </w:rPr>
        <w:t xml:space="preserve">Angie Phipps, Director of Comprehensive System of Personnel Development </w:t>
      </w:r>
      <w:hyperlink r:id="rId21">
        <w:r w:rsidRPr="6ADFF27D">
          <w:rPr>
            <w:rStyle w:val="Hyperlink"/>
          </w:rPr>
          <w:t>Angie.phipps@dhhs.nc.gov</w:t>
        </w:r>
      </w:hyperlink>
      <w:r w:rsidRPr="6ADFF27D">
        <w:rPr>
          <w:color w:val="000000" w:themeColor="text1"/>
        </w:rPr>
        <w:t xml:space="preserve"> </w:t>
      </w:r>
    </w:p>
    <w:p w14:paraId="62DA8DCF" w14:textId="061ED360" w:rsidR="7086BB05" w:rsidRDefault="7086BB05" w:rsidP="7086BB05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4D2D317" w14:textId="77777777" w:rsidR="00410A83" w:rsidRDefault="00410A83"/>
    <w:sectPr w:rsidR="00410A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F6886"/>
    <w:multiLevelType w:val="multilevel"/>
    <w:tmpl w:val="675E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8B20E4"/>
    <w:multiLevelType w:val="multilevel"/>
    <w:tmpl w:val="2A5C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C351C"/>
    <w:multiLevelType w:val="multilevel"/>
    <w:tmpl w:val="4F70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8B47CB"/>
    <w:multiLevelType w:val="multilevel"/>
    <w:tmpl w:val="E522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A65BC"/>
    <w:multiLevelType w:val="hybridMultilevel"/>
    <w:tmpl w:val="79D8E8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4174F"/>
    <w:multiLevelType w:val="multilevel"/>
    <w:tmpl w:val="D5C0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64D26"/>
    <w:multiLevelType w:val="multilevel"/>
    <w:tmpl w:val="FCCE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652B43"/>
    <w:multiLevelType w:val="hybridMultilevel"/>
    <w:tmpl w:val="D51062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26B0E"/>
    <w:multiLevelType w:val="multilevel"/>
    <w:tmpl w:val="7B4E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F51B2"/>
    <w:multiLevelType w:val="multilevel"/>
    <w:tmpl w:val="B222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47A88"/>
    <w:multiLevelType w:val="multilevel"/>
    <w:tmpl w:val="1396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EB7D1D"/>
    <w:multiLevelType w:val="multilevel"/>
    <w:tmpl w:val="17E0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113CFD"/>
    <w:multiLevelType w:val="multilevel"/>
    <w:tmpl w:val="FEDE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93072"/>
    <w:multiLevelType w:val="multilevel"/>
    <w:tmpl w:val="649C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801D5E"/>
    <w:multiLevelType w:val="multilevel"/>
    <w:tmpl w:val="D0AA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877DA7"/>
    <w:multiLevelType w:val="multilevel"/>
    <w:tmpl w:val="6FE2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9327F3"/>
    <w:multiLevelType w:val="multilevel"/>
    <w:tmpl w:val="BDE4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658178">
    <w:abstractNumId w:val="20"/>
  </w:num>
  <w:num w:numId="2" w16cid:durableId="1107508951">
    <w:abstractNumId w:val="5"/>
  </w:num>
  <w:num w:numId="3" w16cid:durableId="1136414694">
    <w:abstractNumId w:val="18"/>
  </w:num>
  <w:num w:numId="4" w16cid:durableId="1162965043">
    <w:abstractNumId w:val="10"/>
  </w:num>
  <w:num w:numId="5" w16cid:durableId="1319503149">
    <w:abstractNumId w:val="3"/>
  </w:num>
  <w:num w:numId="6" w16cid:durableId="1319728380">
    <w:abstractNumId w:val="12"/>
  </w:num>
  <w:num w:numId="7" w16cid:durableId="1350133110">
    <w:abstractNumId w:val="2"/>
  </w:num>
  <w:num w:numId="8" w16cid:durableId="1416823650">
    <w:abstractNumId w:val="15"/>
  </w:num>
  <w:num w:numId="9" w16cid:durableId="1490058634">
    <w:abstractNumId w:val="4"/>
  </w:num>
  <w:num w:numId="10" w16cid:durableId="1687517581">
    <w:abstractNumId w:val="22"/>
  </w:num>
  <w:num w:numId="11" w16cid:durableId="1690449895">
    <w:abstractNumId w:val="21"/>
  </w:num>
  <w:num w:numId="12" w16cid:durableId="1855611732">
    <w:abstractNumId w:val="11"/>
  </w:num>
  <w:num w:numId="13" w16cid:durableId="1944681833">
    <w:abstractNumId w:val="0"/>
  </w:num>
  <w:num w:numId="14" w16cid:durableId="2056732963">
    <w:abstractNumId w:val="13"/>
  </w:num>
  <w:num w:numId="15" w16cid:durableId="2066416282">
    <w:abstractNumId w:val="7"/>
  </w:num>
  <w:num w:numId="16" w16cid:durableId="2095977149">
    <w:abstractNumId w:val="8"/>
  </w:num>
  <w:num w:numId="17" w16cid:durableId="436945140">
    <w:abstractNumId w:val="6"/>
  </w:num>
  <w:num w:numId="18" w16cid:durableId="460461849">
    <w:abstractNumId w:val="25"/>
  </w:num>
  <w:num w:numId="19" w16cid:durableId="488981402">
    <w:abstractNumId w:val="19"/>
  </w:num>
  <w:num w:numId="20" w16cid:durableId="650980851">
    <w:abstractNumId w:val="24"/>
  </w:num>
  <w:num w:numId="21" w16cid:durableId="719862362">
    <w:abstractNumId w:val="1"/>
  </w:num>
  <w:num w:numId="22" w16cid:durableId="748581363">
    <w:abstractNumId w:val="9"/>
  </w:num>
  <w:num w:numId="23" w16cid:durableId="781262662">
    <w:abstractNumId w:val="17"/>
  </w:num>
  <w:num w:numId="24" w16cid:durableId="820847586">
    <w:abstractNumId w:val="14"/>
  </w:num>
  <w:num w:numId="25" w16cid:durableId="929703486">
    <w:abstractNumId w:val="23"/>
  </w:num>
  <w:num w:numId="26" w16cid:durableId="14864337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288"/>
    <w:rsid w:val="0006063C"/>
    <w:rsid w:val="000E2258"/>
    <w:rsid w:val="0015074B"/>
    <w:rsid w:val="00190202"/>
    <w:rsid w:val="00190294"/>
    <w:rsid w:val="00190B8B"/>
    <w:rsid w:val="001931F7"/>
    <w:rsid w:val="001C1B80"/>
    <w:rsid w:val="001D39EC"/>
    <w:rsid w:val="00246814"/>
    <w:rsid w:val="002517B8"/>
    <w:rsid w:val="0029639D"/>
    <w:rsid w:val="002B6D7F"/>
    <w:rsid w:val="002B6DFA"/>
    <w:rsid w:val="002C1BE3"/>
    <w:rsid w:val="00305EB3"/>
    <w:rsid w:val="003079F7"/>
    <w:rsid w:val="00312835"/>
    <w:rsid w:val="00325AC9"/>
    <w:rsid w:val="00325EB0"/>
    <w:rsid w:val="00326F90"/>
    <w:rsid w:val="0036192E"/>
    <w:rsid w:val="0038736C"/>
    <w:rsid w:val="003A67F9"/>
    <w:rsid w:val="003D080C"/>
    <w:rsid w:val="00401595"/>
    <w:rsid w:val="00410A83"/>
    <w:rsid w:val="004437E5"/>
    <w:rsid w:val="004440D0"/>
    <w:rsid w:val="0047330D"/>
    <w:rsid w:val="0047623F"/>
    <w:rsid w:val="0049036C"/>
    <w:rsid w:val="00492273"/>
    <w:rsid w:val="00493B82"/>
    <w:rsid w:val="004B7FC9"/>
    <w:rsid w:val="00530B4F"/>
    <w:rsid w:val="005407FE"/>
    <w:rsid w:val="005464B8"/>
    <w:rsid w:val="005A164E"/>
    <w:rsid w:val="005A4C28"/>
    <w:rsid w:val="005A6ACE"/>
    <w:rsid w:val="005B389E"/>
    <w:rsid w:val="005F109B"/>
    <w:rsid w:val="00610DF1"/>
    <w:rsid w:val="00645090"/>
    <w:rsid w:val="00650F4F"/>
    <w:rsid w:val="00664513"/>
    <w:rsid w:val="00665E32"/>
    <w:rsid w:val="006B3B8E"/>
    <w:rsid w:val="006D52B7"/>
    <w:rsid w:val="006E279A"/>
    <w:rsid w:val="006F6D2F"/>
    <w:rsid w:val="00702CD8"/>
    <w:rsid w:val="00714788"/>
    <w:rsid w:val="007411B9"/>
    <w:rsid w:val="00770950"/>
    <w:rsid w:val="007A1CB6"/>
    <w:rsid w:val="007D5B39"/>
    <w:rsid w:val="0082055F"/>
    <w:rsid w:val="00835DC0"/>
    <w:rsid w:val="00854A94"/>
    <w:rsid w:val="00856664"/>
    <w:rsid w:val="00860334"/>
    <w:rsid w:val="00884456"/>
    <w:rsid w:val="008B1FA2"/>
    <w:rsid w:val="008E17AF"/>
    <w:rsid w:val="009156C3"/>
    <w:rsid w:val="00922D50"/>
    <w:rsid w:val="00954D89"/>
    <w:rsid w:val="00983524"/>
    <w:rsid w:val="00986D67"/>
    <w:rsid w:val="009B568E"/>
    <w:rsid w:val="00A158F5"/>
    <w:rsid w:val="00A247A2"/>
    <w:rsid w:val="00A64FA7"/>
    <w:rsid w:val="00A70DD6"/>
    <w:rsid w:val="00AA1D8D"/>
    <w:rsid w:val="00AD1C0E"/>
    <w:rsid w:val="00B11FA9"/>
    <w:rsid w:val="00B13BE4"/>
    <w:rsid w:val="00B1592B"/>
    <w:rsid w:val="00B417F9"/>
    <w:rsid w:val="00B47730"/>
    <w:rsid w:val="00B52567"/>
    <w:rsid w:val="00B57B41"/>
    <w:rsid w:val="00B62794"/>
    <w:rsid w:val="00B71563"/>
    <w:rsid w:val="00B723AE"/>
    <w:rsid w:val="00B81241"/>
    <w:rsid w:val="00B82794"/>
    <w:rsid w:val="00B83352"/>
    <w:rsid w:val="00B929CD"/>
    <w:rsid w:val="00BA62EC"/>
    <w:rsid w:val="00BB78A0"/>
    <w:rsid w:val="00BC457E"/>
    <w:rsid w:val="00BD1DC1"/>
    <w:rsid w:val="00BE56F4"/>
    <w:rsid w:val="00BF2503"/>
    <w:rsid w:val="00C039ED"/>
    <w:rsid w:val="00C32B8E"/>
    <w:rsid w:val="00C504B3"/>
    <w:rsid w:val="00C77F97"/>
    <w:rsid w:val="00C958A1"/>
    <w:rsid w:val="00CB0664"/>
    <w:rsid w:val="00CB3E16"/>
    <w:rsid w:val="00CC2E05"/>
    <w:rsid w:val="00D21975"/>
    <w:rsid w:val="00D565D6"/>
    <w:rsid w:val="00D82350"/>
    <w:rsid w:val="00D87EB5"/>
    <w:rsid w:val="00D901FA"/>
    <w:rsid w:val="00D959B6"/>
    <w:rsid w:val="00DA058F"/>
    <w:rsid w:val="00DB41FE"/>
    <w:rsid w:val="00DC1CD8"/>
    <w:rsid w:val="00E01E27"/>
    <w:rsid w:val="00E42FC4"/>
    <w:rsid w:val="00E45BDD"/>
    <w:rsid w:val="00E62105"/>
    <w:rsid w:val="00EC2D95"/>
    <w:rsid w:val="00EE71DE"/>
    <w:rsid w:val="00EF3FAA"/>
    <w:rsid w:val="00F17E80"/>
    <w:rsid w:val="00F2163B"/>
    <w:rsid w:val="00F43730"/>
    <w:rsid w:val="00F64EEF"/>
    <w:rsid w:val="00F654B8"/>
    <w:rsid w:val="00F77831"/>
    <w:rsid w:val="00FA7FFA"/>
    <w:rsid w:val="00FC2CB4"/>
    <w:rsid w:val="00FC693F"/>
    <w:rsid w:val="00FD2892"/>
    <w:rsid w:val="00FF79AC"/>
    <w:rsid w:val="0152CFEE"/>
    <w:rsid w:val="0169400C"/>
    <w:rsid w:val="01A7CC55"/>
    <w:rsid w:val="01C7EEE5"/>
    <w:rsid w:val="021D0D01"/>
    <w:rsid w:val="027AE5A2"/>
    <w:rsid w:val="02B3279F"/>
    <w:rsid w:val="089A1A01"/>
    <w:rsid w:val="0955A515"/>
    <w:rsid w:val="0964F3B8"/>
    <w:rsid w:val="0A26080F"/>
    <w:rsid w:val="0B2C8BE0"/>
    <w:rsid w:val="0B662034"/>
    <w:rsid w:val="0C6C002C"/>
    <w:rsid w:val="0CDD371F"/>
    <w:rsid w:val="0D045B35"/>
    <w:rsid w:val="0D209626"/>
    <w:rsid w:val="0D25DC26"/>
    <w:rsid w:val="0E8DF563"/>
    <w:rsid w:val="0F3478BF"/>
    <w:rsid w:val="0F6D6A6A"/>
    <w:rsid w:val="0F9AD0C3"/>
    <w:rsid w:val="1021A6E7"/>
    <w:rsid w:val="124A8EA6"/>
    <w:rsid w:val="133699DC"/>
    <w:rsid w:val="137A4C11"/>
    <w:rsid w:val="1380C49D"/>
    <w:rsid w:val="13D053DE"/>
    <w:rsid w:val="14512030"/>
    <w:rsid w:val="149736A8"/>
    <w:rsid w:val="14E2C5B8"/>
    <w:rsid w:val="1886EC6E"/>
    <w:rsid w:val="18D2BC0C"/>
    <w:rsid w:val="1957697F"/>
    <w:rsid w:val="19BD043C"/>
    <w:rsid w:val="19FB927B"/>
    <w:rsid w:val="1B7C0286"/>
    <w:rsid w:val="1BEC3D85"/>
    <w:rsid w:val="1C59175A"/>
    <w:rsid w:val="1D1B9110"/>
    <w:rsid w:val="1D51EA6F"/>
    <w:rsid w:val="1D758BE6"/>
    <w:rsid w:val="1E847856"/>
    <w:rsid w:val="1E89074D"/>
    <w:rsid w:val="1E8CA085"/>
    <w:rsid w:val="20A69D4C"/>
    <w:rsid w:val="22329893"/>
    <w:rsid w:val="228AA139"/>
    <w:rsid w:val="23A5FA79"/>
    <w:rsid w:val="26CCF313"/>
    <w:rsid w:val="280EECEF"/>
    <w:rsid w:val="28A13535"/>
    <w:rsid w:val="2CA721D9"/>
    <w:rsid w:val="2CB84A67"/>
    <w:rsid w:val="2F28B50E"/>
    <w:rsid w:val="2F568265"/>
    <w:rsid w:val="2F9AEE33"/>
    <w:rsid w:val="306F2B43"/>
    <w:rsid w:val="30B86AD3"/>
    <w:rsid w:val="30DFA122"/>
    <w:rsid w:val="3260534F"/>
    <w:rsid w:val="32A81758"/>
    <w:rsid w:val="332148DE"/>
    <w:rsid w:val="3457DECA"/>
    <w:rsid w:val="35859841"/>
    <w:rsid w:val="369794D3"/>
    <w:rsid w:val="392432D9"/>
    <w:rsid w:val="3A04BBB8"/>
    <w:rsid w:val="3B6EB347"/>
    <w:rsid w:val="3CF190A7"/>
    <w:rsid w:val="3D0F5E0F"/>
    <w:rsid w:val="3D434A36"/>
    <w:rsid w:val="3E71A2F7"/>
    <w:rsid w:val="3EA0E0B8"/>
    <w:rsid w:val="3ECE81C8"/>
    <w:rsid w:val="3F3554E4"/>
    <w:rsid w:val="403B9D43"/>
    <w:rsid w:val="40F193E9"/>
    <w:rsid w:val="414F818A"/>
    <w:rsid w:val="4160E708"/>
    <w:rsid w:val="42207097"/>
    <w:rsid w:val="42F15BED"/>
    <w:rsid w:val="43029109"/>
    <w:rsid w:val="435A56DE"/>
    <w:rsid w:val="44986C72"/>
    <w:rsid w:val="45ACDF27"/>
    <w:rsid w:val="47AEF87C"/>
    <w:rsid w:val="47BACF0B"/>
    <w:rsid w:val="487B81C2"/>
    <w:rsid w:val="48A7808E"/>
    <w:rsid w:val="48B5108A"/>
    <w:rsid w:val="48F354A4"/>
    <w:rsid w:val="490CE8E2"/>
    <w:rsid w:val="49A5B86E"/>
    <w:rsid w:val="4ABC1E73"/>
    <w:rsid w:val="4C6CBB5A"/>
    <w:rsid w:val="4D2F9D51"/>
    <w:rsid w:val="4DE176F5"/>
    <w:rsid w:val="4E6D26C5"/>
    <w:rsid w:val="4EA3BE2C"/>
    <w:rsid w:val="4F11F679"/>
    <w:rsid w:val="4FDC8CCE"/>
    <w:rsid w:val="527335D7"/>
    <w:rsid w:val="54206434"/>
    <w:rsid w:val="551A9BD0"/>
    <w:rsid w:val="557E90DF"/>
    <w:rsid w:val="59412DF3"/>
    <w:rsid w:val="595F5935"/>
    <w:rsid w:val="5AC9307B"/>
    <w:rsid w:val="5AD10A75"/>
    <w:rsid w:val="5BA72D1B"/>
    <w:rsid w:val="5BC91C0C"/>
    <w:rsid w:val="5CBBF256"/>
    <w:rsid w:val="5CD371B9"/>
    <w:rsid w:val="5E56CA17"/>
    <w:rsid w:val="60028A29"/>
    <w:rsid w:val="62668CD6"/>
    <w:rsid w:val="62DBCE29"/>
    <w:rsid w:val="635BF8A2"/>
    <w:rsid w:val="6520D6A6"/>
    <w:rsid w:val="6588D3B0"/>
    <w:rsid w:val="65F1F76F"/>
    <w:rsid w:val="660391B7"/>
    <w:rsid w:val="67859B47"/>
    <w:rsid w:val="68089199"/>
    <w:rsid w:val="6873AC8A"/>
    <w:rsid w:val="6943EF25"/>
    <w:rsid w:val="694DD298"/>
    <w:rsid w:val="6A73B06C"/>
    <w:rsid w:val="6ADFF27D"/>
    <w:rsid w:val="6E350278"/>
    <w:rsid w:val="6E4E6472"/>
    <w:rsid w:val="6F509D6B"/>
    <w:rsid w:val="70546BD0"/>
    <w:rsid w:val="7086BB05"/>
    <w:rsid w:val="7091A400"/>
    <w:rsid w:val="70A3B7FE"/>
    <w:rsid w:val="70C9411B"/>
    <w:rsid w:val="71464DF4"/>
    <w:rsid w:val="729CF991"/>
    <w:rsid w:val="73269C24"/>
    <w:rsid w:val="756A41C6"/>
    <w:rsid w:val="756D5ADF"/>
    <w:rsid w:val="758EAB37"/>
    <w:rsid w:val="76D2CFDE"/>
    <w:rsid w:val="77268F18"/>
    <w:rsid w:val="7764C6F8"/>
    <w:rsid w:val="792D6C76"/>
    <w:rsid w:val="798D4ACC"/>
    <w:rsid w:val="7A1F6F22"/>
    <w:rsid w:val="7A306DFD"/>
    <w:rsid w:val="7B1DB3D1"/>
    <w:rsid w:val="7CECB1F0"/>
    <w:rsid w:val="7F8BE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0CC293"/>
  <w14:defaultImageDpi w14:val="300"/>
  <w15:docId w15:val="{35A2374F-F881-4446-A32F-6554A74B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929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9C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17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1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7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7B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17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adlet.com/LICCNetwork/north-carolina-s-licc-resource-padlet-fg3gmq0eb9yat1oq" TargetMode="External"/><Relationship Id="rId18" Type="http://schemas.openxmlformats.org/officeDocument/2006/relationships/hyperlink" Target="https://www.ncdhhs.gov/itp-beearl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ngie.phipps@dhhs.nc.go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adlet.com/LICCNetwork/north-carolina-s-licc-resource-padlet-fg3gmq0eb9yat1oq" TargetMode="External"/><Relationship Id="rId17" Type="http://schemas.openxmlformats.org/officeDocument/2006/relationships/hyperlink" Target="https://padlet.com/LICCNetwork/north-carolina-s-licc-resource-padlet-fg3gmq0eb9yat1o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dlet.com/LICCNetwork/north-carolina-s-licc-resource-padlet-fg3gmq0eb9yat1oq" TargetMode="External"/><Relationship Id="rId20" Type="http://schemas.openxmlformats.org/officeDocument/2006/relationships/hyperlink" Target="mailto:brian.deese@dhhs.nc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ncdhhs.gov/divisions/child-and-family-well-being/north-carolina-infant-toddler-program-nc-itp/council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padlet.com/LICCNetwork/north-carolina-s-licc-resource-padlet-fg3gmq0eb9yat1o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1ca27-a4ad-466d-ae82-01d4ad7ec50f" xsi:nil="true"/>
    <lcf76f155ced4ddcb4097134ff3c332f xmlns="2de74245-be85-4809-9009-440f78a6aa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BD8EEC2BE424CB1096FED55E85FE9" ma:contentTypeVersion="10" ma:contentTypeDescription="Create a new document." ma:contentTypeScope="" ma:versionID="ceeb8ec93814d98fb64b9b20668e21a8">
  <xsd:schema xmlns:xsd="http://www.w3.org/2001/XMLSchema" xmlns:xs="http://www.w3.org/2001/XMLSchema" xmlns:p="http://schemas.microsoft.com/office/2006/metadata/properties" xmlns:ns2="2de74245-be85-4809-9009-440f78a6aa90" xmlns:ns3="d7f1ca27-a4ad-466d-ae82-01d4ad7ec50f" targetNamespace="http://schemas.microsoft.com/office/2006/metadata/properties" ma:root="true" ma:fieldsID="b1c58fa4c6ac4c3c1c97b0ebf51daf57" ns2:_="" ns3:_="">
    <xsd:import namespace="2de74245-be85-4809-9009-440f78a6aa90"/>
    <xsd:import namespace="d7f1ca27-a4ad-466d-ae82-01d4ad7ec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74245-be85-4809-9009-440f78a6a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1ca27-a4ad-466d-ae82-01d4ad7ec5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5012aa-f10c-4db5-b4e8-89a1c07bba3c}" ma:internalName="TaxCatchAll" ma:showField="CatchAllData" ma:web="d7f1ca27-a4ad-466d-ae82-01d4ad7ec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DA42E-2DEC-45A2-A510-7CC97E730FFA}">
  <ds:schemaRefs>
    <ds:schemaRef ds:uri="http://schemas.microsoft.com/office/2006/metadata/properties"/>
    <ds:schemaRef ds:uri="http://schemas.microsoft.com/office/infopath/2007/PartnerControls"/>
    <ds:schemaRef ds:uri="73b351c6-f899-47f1-8c44-340deb90799f"/>
    <ds:schemaRef ds:uri="f955b529-56b3-42be-b2f7-b93a8931256d"/>
  </ds:schemaRefs>
</ds:datastoreItem>
</file>

<file path=customXml/itemProps2.xml><?xml version="1.0" encoding="utf-8"?>
<ds:datastoreItem xmlns:ds="http://schemas.openxmlformats.org/officeDocument/2006/customXml" ds:itemID="{D843A1E9-6816-4F9A-A65A-D667CF363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83BB6-83D7-4F15-8829-2BA0125AFB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Powell, Laurel</cp:lastModifiedBy>
  <cp:revision>9</cp:revision>
  <dcterms:created xsi:type="dcterms:W3CDTF">2026-04-17T13:57:00Z</dcterms:created>
  <dcterms:modified xsi:type="dcterms:W3CDTF">2026-04-17T19:58:00Z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0x010100CC0BD8EEC2BE424CB1096FED55E85FE9</vt:lpwstr>
  </property>
  <property fmtid="{D5CDD505-2E9C-101B-9397-08002B2CF9AE}" pid="3" name="MediaServiceImageTags">
    <vt:lpwstr/>
  </property>
  <property fmtid="{D5CDD505-2E9C-101B-9397-08002B2CF9AE}" pid="4" name="GrammarlyDocumentId">
    <vt:lpwstr>388cdf7e-1726-4fcb-b353-5c846382b829</vt:lpwstr>
  </property>
</Properties>
</file>