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587F" w14:textId="50C8177A" w:rsidR="00752B1D" w:rsidRPr="00C15D7D" w:rsidRDefault="00064C71">
      <w:pPr>
        <w:rPr>
          <w:b/>
          <w:bCs/>
        </w:rPr>
      </w:pPr>
      <w:r w:rsidRPr="00C15D7D">
        <w:rPr>
          <w:b/>
          <w:bCs/>
        </w:rPr>
        <w:t xml:space="preserve">OPSA Meeting </w:t>
      </w:r>
    </w:p>
    <w:p w14:paraId="31BFD734" w14:textId="749D6D41" w:rsidR="00064C71" w:rsidRPr="00C15D7D" w:rsidRDefault="00486EC4">
      <w:pPr>
        <w:rPr>
          <w:b/>
          <w:bCs/>
        </w:rPr>
      </w:pPr>
      <w:r>
        <w:rPr>
          <w:b/>
          <w:bCs/>
        </w:rPr>
        <w:t>3/18/26</w:t>
      </w:r>
    </w:p>
    <w:p w14:paraId="7309D242" w14:textId="567548BA" w:rsidR="00752B1D" w:rsidRPr="00752B1D" w:rsidRDefault="00752B1D">
      <w:pPr>
        <w:rPr>
          <w:b/>
          <w:bCs/>
        </w:rPr>
      </w:pPr>
      <w:r w:rsidRPr="00752B1D">
        <w:rPr>
          <w:b/>
          <w:bCs/>
        </w:rPr>
        <w:t>Welcome/Roll Call/Opening Remarks – Deb Goda</w:t>
      </w:r>
      <w:r>
        <w:rPr>
          <w:b/>
          <w:bCs/>
        </w:rPr>
        <w:t xml:space="preserve"> and Br</w:t>
      </w:r>
      <w:r w:rsidR="00064C71">
        <w:rPr>
          <w:b/>
          <w:bCs/>
        </w:rPr>
        <w:t>y</w:t>
      </w:r>
      <w:r>
        <w:rPr>
          <w:b/>
          <w:bCs/>
        </w:rPr>
        <w:t>an Dooley</w:t>
      </w:r>
    </w:p>
    <w:p w14:paraId="530C4626" w14:textId="67D9378C" w:rsidR="005A39DB" w:rsidRDefault="00A1620A">
      <w:r>
        <w:t xml:space="preserve">Deb </w:t>
      </w:r>
      <w:r w:rsidR="00486EC4">
        <w:t xml:space="preserve">Goda </w:t>
      </w:r>
      <w:r>
        <w:t>w</w:t>
      </w:r>
      <w:r w:rsidR="00DC1025">
        <w:t>el</w:t>
      </w:r>
      <w:r>
        <w:t xml:space="preserve">comed attendees and requested everyone to enter their names and affiliation in the chat. </w:t>
      </w:r>
      <w:r w:rsidR="00CC00A2">
        <w:t>She</w:t>
      </w:r>
      <w:r>
        <w:t xml:space="preserve"> introduced Brain Dooley, </w:t>
      </w:r>
      <w:r w:rsidR="00DC1025">
        <w:t>Co-</w:t>
      </w:r>
      <w:r w:rsidR="00DD5CA7">
        <w:t>Chair,</w:t>
      </w:r>
      <w:r w:rsidR="00DC1025">
        <w:t xml:space="preserve"> to provide opening remarks.</w:t>
      </w:r>
    </w:p>
    <w:p w14:paraId="047EE5BA" w14:textId="2FF41D53" w:rsidR="00DC1025" w:rsidRDefault="00DC1025"/>
    <w:p w14:paraId="101A347E" w14:textId="61C1A34D" w:rsidR="00DC1025" w:rsidRPr="00C33D60" w:rsidRDefault="00064C71">
      <w:pPr>
        <w:rPr>
          <w:b/>
          <w:bCs/>
        </w:rPr>
      </w:pPr>
      <w:r>
        <w:rPr>
          <w:b/>
          <w:bCs/>
        </w:rPr>
        <w:t xml:space="preserve">Targeting Program </w:t>
      </w:r>
      <w:r w:rsidR="00C33D60" w:rsidRPr="00C33D60">
        <w:rPr>
          <w:b/>
          <w:bCs/>
        </w:rPr>
        <w:t>Presentation</w:t>
      </w:r>
      <w:r w:rsidR="00486EC4">
        <w:rPr>
          <w:b/>
          <w:bCs/>
        </w:rPr>
        <w:t xml:space="preserve"> </w:t>
      </w:r>
      <w:r>
        <w:rPr>
          <w:b/>
          <w:bCs/>
        </w:rPr>
        <w:t>- Detra Purcell, NCDHHS</w:t>
      </w:r>
    </w:p>
    <w:p w14:paraId="49A26938" w14:textId="6C73F9FC" w:rsidR="00C33D60" w:rsidRDefault="00DC1025" w:rsidP="00C33D60">
      <w:pPr>
        <w:pStyle w:val="ListParagraph"/>
        <w:numPr>
          <w:ilvl w:val="0"/>
          <w:numId w:val="1"/>
        </w:numPr>
      </w:pPr>
      <w:r>
        <w:t xml:space="preserve">Detra Purcell presented updates on the Targeting Program, which supports adults with disabilities at or below 50% </w:t>
      </w:r>
      <w:r w:rsidR="002363E5">
        <w:t>of the</w:t>
      </w:r>
      <w:r>
        <w:t xml:space="preserve"> area median and that is </w:t>
      </w:r>
      <w:r w:rsidR="002363E5">
        <w:t>referred to</w:t>
      </w:r>
      <w:r>
        <w:t xml:space="preserve"> through an agency that receive</w:t>
      </w:r>
      <w:r w:rsidR="002363E5">
        <w:t>s</w:t>
      </w:r>
      <w:r>
        <w:t xml:space="preserve"> </w:t>
      </w:r>
      <w:r w:rsidR="002363E5">
        <w:t xml:space="preserve">some </w:t>
      </w:r>
      <w:r w:rsidR="006256C7">
        <w:t>wrap-</w:t>
      </w:r>
      <w:r w:rsidR="002363E5">
        <w:t>around</w:t>
      </w:r>
      <w:r>
        <w:t xml:space="preserve"> support</w:t>
      </w:r>
      <w:r w:rsidR="002363E5">
        <w:t xml:space="preserve"> services.</w:t>
      </w:r>
      <w:r>
        <w:t xml:space="preserve">  </w:t>
      </w:r>
    </w:p>
    <w:p w14:paraId="29A10162" w14:textId="4F99C4B3" w:rsidR="00C33D60" w:rsidRDefault="00DC1025" w:rsidP="00C33D60">
      <w:pPr>
        <w:pStyle w:val="ListParagraph"/>
        <w:numPr>
          <w:ilvl w:val="0"/>
          <w:numId w:val="1"/>
        </w:numPr>
      </w:pPr>
      <w:r>
        <w:t>Detra</w:t>
      </w:r>
      <w:r w:rsidR="002363E5">
        <w:t xml:space="preserve"> gave updates to enhance the program to make sure that they can expeditiously process applications. </w:t>
      </w:r>
    </w:p>
    <w:p w14:paraId="5514604F" w14:textId="1BB47ABE" w:rsidR="00C33D60" w:rsidRDefault="002363E5" w:rsidP="00C33D60">
      <w:pPr>
        <w:pStyle w:val="ListParagraph"/>
        <w:numPr>
          <w:ilvl w:val="0"/>
          <w:numId w:val="1"/>
        </w:numPr>
      </w:pPr>
      <w:r>
        <w:t>Detra discussed some policy changes: They are now accepting</w:t>
      </w:r>
      <w:r w:rsidR="00DC1025">
        <w:t xml:space="preserve"> award letters dated </w:t>
      </w:r>
      <w:r w:rsidR="00B9627D">
        <w:t xml:space="preserve">within </w:t>
      </w:r>
      <w:r w:rsidR="00DC1025">
        <w:t xml:space="preserve">12 months of </w:t>
      </w:r>
      <w:r>
        <w:t>the referrals</w:t>
      </w:r>
      <w:r w:rsidR="00B9627D">
        <w:t>.  E</w:t>
      </w:r>
      <w:r w:rsidR="00DC1025">
        <w:t>asier than the previous 120-day restriction.</w:t>
      </w:r>
      <w:r>
        <w:t xml:space="preserve"> They are also working on system enhancements</w:t>
      </w:r>
      <w:r w:rsidR="0003447A">
        <w:t xml:space="preserve"> which will </w:t>
      </w:r>
      <w:r w:rsidR="006E1B8A">
        <w:t>include</w:t>
      </w:r>
      <w:r w:rsidR="0003447A">
        <w:t xml:space="preserve"> a plan for a public facing referral database to reduce error and missing information</w:t>
      </w:r>
      <w:r w:rsidR="00B9627D">
        <w:t>.</w:t>
      </w:r>
      <w:r w:rsidR="0003447A">
        <w:t xml:space="preserve"> Rollout for this is expected for this summer. </w:t>
      </w:r>
    </w:p>
    <w:p w14:paraId="6ECF7BFB" w14:textId="75D59C2B" w:rsidR="00DC1025" w:rsidRDefault="007A1ECE" w:rsidP="00C33D60">
      <w:pPr>
        <w:pStyle w:val="ListParagraph"/>
        <w:numPr>
          <w:ilvl w:val="0"/>
          <w:numId w:val="1"/>
        </w:numPr>
      </w:pPr>
      <w:r>
        <w:t>Q</w:t>
      </w:r>
      <w:r w:rsidR="0003447A">
        <w:t>uarterly trainings are being launched and will be led by Wanda Te</w:t>
      </w:r>
      <w:r w:rsidR="00B9627D">
        <w:t>e</w:t>
      </w:r>
      <w:r w:rsidR="0003447A">
        <w:t>l to improve knowledge and engagement.</w:t>
      </w:r>
      <w:r w:rsidR="00B9627D">
        <w:t xml:space="preserve"> </w:t>
      </w:r>
    </w:p>
    <w:p w14:paraId="4D975E88" w14:textId="1ED512F6" w:rsidR="007A1ECE" w:rsidRDefault="007A1ECE" w:rsidP="00C33D60">
      <w:pPr>
        <w:pStyle w:val="ListParagraph"/>
        <w:numPr>
          <w:ilvl w:val="0"/>
          <w:numId w:val="1"/>
        </w:numPr>
      </w:pPr>
      <w:r>
        <w:t xml:space="preserve">Detra shared some move-in data: 450 TCL participant move-ins, with additional move-ins for homeless </w:t>
      </w:r>
      <w:r w:rsidR="00B9627D">
        <w:t xml:space="preserve">(199), </w:t>
      </w:r>
      <w:r>
        <w:t>and other individuals with disabilities</w:t>
      </w:r>
      <w:r w:rsidR="00B9627D">
        <w:t xml:space="preserve"> (138), and Money Follows the Person- MFP (30)</w:t>
      </w:r>
      <w:r>
        <w:t>. Safety transfers were noted for individuals needing to move for medical or domestic issues.</w:t>
      </w:r>
    </w:p>
    <w:p w14:paraId="47D704F0" w14:textId="6F452C39" w:rsidR="007A1ECE" w:rsidRDefault="00B9627D" w:rsidP="00C33D60">
      <w:pPr>
        <w:pStyle w:val="ListParagraph"/>
        <w:numPr>
          <w:ilvl w:val="0"/>
          <w:numId w:val="1"/>
        </w:numPr>
      </w:pPr>
      <w:r>
        <w:t xml:space="preserve">Pilot/Non-Pilot Move-ins for SFY24-25/CY25: </w:t>
      </w:r>
      <w:r w:rsidR="007A1ECE">
        <w:t>D</w:t>
      </w:r>
      <w:r w:rsidR="00930544">
        <w:t>ivision of Aging had 673 move-ins, followed by Alliance (133), V</w:t>
      </w:r>
      <w:r w:rsidR="003628E7">
        <w:t>a</w:t>
      </w:r>
      <w:r w:rsidR="00930544">
        <w:t>ya (14), Partners (8), and Trillium (4).</w:t>
      </w:r>
      <w:r>
        <w:t xml:space="preserve"> Partners and Trillium joined the pilot in year 2. </w:t>
      </w:r>
    </w:p>
    <w:p w14:paraId="0F91623B" w14:textId="77777777" w:rsidR="00930544" w:rsidRDefault="00930544" w:rsidP="00930544"/>
    <w:p w14:paraId="4A7CEEF9" w14:textId="737E5114" w:rsidR="00930544" w:rsidRDefault="00930544" w:rsidP="00930544">
      <w:pPr>
        <w:rPr>
          <w:b/>
          <w:bCs/>
        </w:rPr>
      </w:pPr>
      <w:r w:rsidRPr="00930544">
        <w:rPr>
          <w:b/>
          <w:bCs/>
        </w:rPr>
        <w:t xml:space="preserve">Olmstead Quarterly Report </w:t>
      </w:r>
      <w:r w:rsidR="003628E7">
        <w:rPr>
          <w:b/>
          <w:bCs/>
        </w:rPr>
        <w:t>and Olmstead Plan Community Engagement Update</w:t>
      </w:r>
      <w:r w:rsidR="00486EC4">
        <w:rPr>
          <w:b/>
          <w:bCs/>
        </w:rPr>
        <w:t xml:space="preserve"> </w:t>
      </w:r>
      <w:r w:rsidRPr="00930544">
        <w:rPr>
          <w:b/>
          <w:bCs/>
        </w:rPr>
        <w:t xml:space="preserve">- Rebecca Boss, </w:t>
      </w:r>
      <w:r w:rsidR="003628E7">
        <w:rPr>
          <w:b/>
          <w:bCs/>
        </w:rPr>
        <w:t>Technical Assistance Collaborative (</w:t>
      </w:r>
      <w:r w:rsidRPr="00930544">
        <w:rPr>
          <w:b/>
          <w:bCs/>
        </w:rPr>
        <w:t>TAC</w:t>
      </w:r>
      <w:r w:rsidR="003628E7">
        <w:rPr>
          <w:b/>
          <w:bCs/>
        </w:rPr>
        <w:t>)</w:t>
      </w:r>
    </w:p>
    <w:p w14:paraId="4CBD4578" w14:textId="4BBE8423" w:rsidR="00930544" w:rsidRDefault="00064C71" w:rsidP="00930544">
      <w:pPr>
        <w:pStyle w:val="ListParagraph"/>
        <w:numPr>
          <w:ilvl w:val="0"/>
          <w:numId w:val="2"/>
        </w:numPr>
      </w:pPr>
      <w:r>
        <w:t>Rebecca (</w:t>
      </w:r>
      <w:r w:rsidR="00930544" w:rsidRPr="00930544">
        <w:t>Becky</w:t>
      </w:r>
      <w:r>
        <w:t>)</w:t>
      </w:r>
      <w:r w:rsidR="00930544" w:rsidRPr="00930544">
        <w:t xml:space="preserve"> Boss </w:t>
      </w:r>
      <w:r w:rsidR="00930544">
        <w:t xml:space="preserve">from TAC presented the Q4 Olmstead report from October 1, </w:t>
      </w:r>
      <w:r w:rsidR="006E1B8A">
        <w:t>2025,</w:t>
      </w:r>
      <w:r w:rsidR="00930544">
        <w:t xml:space="preserve"> to December 31, 2025.</w:t>
      </w:r>
    </w:p>
    <w:p w14:paraId="188565A3" w14:textId="16FF2F97" w:rsidR="00930544" w:rsidRDefault="00E3110B" w:rsidP="00930544">
      <w:pPr>
        <w:pStyle w:val="ListParagraph"/>
        <w:numPr>
          <w:ilvl w:val="0"/>
          <w:numId w:val="2"/>
        </w:numPr>
      </w:pPr>
      <w:r>
        <w:lastRenderedPageBreak/>
        <w:t>Priority</w:t>
      </w:r>
      <w:r w:rsidR="00930544">
        <w:t xml:space="preserve"> areas: increasing </w:t>
      </w:r>
      <w:r>
        <w:t>opportunities for individuals and families to choose community inclusion via Medicaid waivers and community services and supports. Also trying to divert individuals from the criminal justice system.</w:t>
      </w:r>
    </w:p>
    <w:p w14:paraId="3DE871D9" w14:textId="218CB8FF" w:rsidR="00E3110B" w:rsidRDefault="00E3110B" w:rsidP="00930544">
      <w:pPr>
        <w:pStyle w:val="ListParagraph"/>
        <w:numPr>
          <w:ilvl w:val="0"/>
          <w:numId w:val="2"/>
        </w:numPr>
      </w:pPr>
      <w:r>
        <w:t xml:space="preserve">Challenges in report distribution due to new formatting and accessibility compliance </w:t>
      </w:r>
      <w:r w:rsidR="00076730">
        <w:t>were</w:t>
      </w:r>
      <w:r>
        <w:t xml:space="preserve"> discussed.</w:t>
      </w:r>
    </w:p>
    <w:p w14:paraId="718A9FEE" w14:textId="384A2066" w:rsidR="00E3110B" w:rsidRDefault="00E3110B" w:rsidP="00930544">
      <w:pPr>
        <w:pStyle w:val="ListParagraph"/>
        <w:numPr>
          <w:ilvl w:val="0"/>
          <w:numId w:val="2"/>
        </w:numPr>
      </w:pPr>
      <w:r>
        <w:t xml:space="preserve">500 </w:t>
      </w:r>
      <w:r w:rsidR="00486EC4">
        <w:t>CAP-</w:t>
      </w:r>
      <w:r>
        <w:t>C waiver slots added</w:t>
      </w:r>
      <w:r w:rsidR="00E456B7">
        <w:t>;</w:t>
      </w:r>
      <w:r w:rsidR="00064C71">
        <w:t xml:space="preserve"> </w:t>
      </w:r>
      <w:r>
        <w:t>350 Innovation waiver slots</w:t>
      </w:r>
      <w:r w:rsidR="00E456B7">
        <w:t xml:space="preserve"> were added; and</w:t>
      </w:r>
      <w:r>
        <w:t xml:space="preserve"> 2,000 new recipients began receiving 1915</w:t>
      </w:r>
      <w:r w:rsidR="00E456B7">
        <w:t>(</w:t>
      </w:r>
      <w:r>
        <w:t>i</w:t>
      </w:r>
      <w:r w:rsidR="00E456B7">
        <w:t>)</w:t>
      </w:r>
      <w:r>
        <w:t xml:space="preserve"> services</w:t>
      </w:r>
      <w:r w:rsidR="00076730">
        <w:t xml:space="preserve"> within the last year making it a total of 12,000 being served</w:t>
      </w:r>
      <w:r w:rsidR="00E456B7">
        <w:t xml:space="preserve"> with 1915(i) services</w:t>
      </w:r>
      <w:r w:rsidR="00076730">
        <w:t>.</w:t>
      </w:r>
    </w:p>
    <w:p w14:paraId="4B683E2E" w14:textId="50BA4066" w:rsidR="001511D7" w:rsidRDefault="001511D7" w:rsidP="001511D7">
      <w:pPr>
        <w:pStyle w:val="ListParagraph"/>
        <w:numPr>
          <w:ilvl w:val="0"/>
          <w:numId w:val="2"/>
        </w:numPr>
      </w:pPr>
      <w:r>
        <w:t>Jenny</w:t>
      </w:r>
      <w:r w:rsidR="00E356B9">
        <w:t xml:space="preserve"> Hobbs</w:t>
      </w:r>
      <w:r>
        <w:t xml:space="preserve"> raised concerns about the underutilization of </w:t>
      </w:r>
      <w:r w:rsidR="00486EC4">
        <w:t>CAP-</w:t>
      </w:r>
      <w:r>
        <w:t xml:space="preserve">C slots. Jessica Aguilar also brought up language barriers for non-English families. </w:t>
      </w:r>
      <w:r w:rsidR="006256C7">
        <w:t>She</w:t>
      </w:r>
      <w:r>
        <w:t xml:space="preserve"> </w:t>
      </w:r>
      <w:r w:rsidR="006256C7">
        <w:t xml:space="preserve">note </w:t>
      </w:r>
      <w:r>
        <w:t>that the PDFs are only in English and staff misinform families about the eligibility. Becky acknowledged these barriers and linked them to broader community engagement</w:t>
      </w:r>
      <w:r w:rsidR="003628E7">
        <w:t xml:space="preserve"> (CE)</w:t>
      </w:r>
      <w:r>
        <w:t xml:space="preserve"> findings.</w:t>
      </w:r>
    </w:p>
    <w:p w14:paraId="3B2F0B9A" w14:textId="32A99080" w:rsidR="001511D7" w:rsidRDefault="002C6BA0" w:rsidP="001511D7">
      <w:pPr>
        <w:pStyle w:val="ListParagraph"/>
        <w:numPr>
          <w:ilvl w:val="0"/>
          <w:numId w:val="2"/>
        </w:numPr>
      </w:pPr>
      <w:r>
        <w:t>Becky</w:t>
      </w:r>
      <w:r w:rsidR="006256C7">
        <w:t xml:space="preserve"> Boss</w:t>
      </w:r>
      <w:r>
        <w:t xml:space="preserve"> </w:t>
      </w:r>
      <w:r w:rsidR="006256C7">
        <w:t xml:space="preserve">summarized </w:t>
      </w:r>
      <w:r>
        <w:t>community engagement</w:t>
      </w:r>
      <w:r w:rsidR="003628E7">
        <w:t xml:space="preserve"> </w:t>
      </w:r>
      <w:r>
        <w:t xml:space="preserve">surveys: 97 English survey responses, no Spanish responses, and 6 virtual and 2 </w:t>
      </w:r>
      <w:r w:rsidR="00486EC4">
        <w:t>in-</w:t>
      </w:r>
      <w:r>
        <w:t>person sessions.</w:t>
      </w:r>
    </w:p>
    <w:p w14:paraId="20E90470" w14:textId="060F348A" w:rsidR="003628E7" w:rsidRPr="003628E7" w:rsidRDefault="003628E7" w:rsidP="003628E7">
      <w:pPr>
        <w:pStyle w:val="ListParagraph"/>
        <w:numPr>
          <w:ilvl w:val="0"/>
          <w:numId w:val="2"/>
        </w:numPr>
      </w:pPr>
      <w:r w:rsidRPr="003628E7">
        <w:t xml:space="preserve">All </w:t>
      </w:r>
      <w:r>
        <w:t xml:space="preserve">CE </w:t>
      </w:r>
      <w:r w:rsidRPr="003628E7">
        <w:t>sessions were mixed population, recruitment to people with all disability types, caregivers, advocates, providers, tailored plans, and divisions. Multiple avenues of recruitment employed.</w:t>
      </w:r>
    </w:p>
    <w:p w14:paraId="1FAB16AE" w14:textId="163B464E" w:rsidR="003628E7" w:rsidRPr="003628E7" w:rsidRDefault="003628E7" w:rsidP="003628E7">
      <w:pPr>
        <w:pStyle w:val="ListParagraph"/>
        <w:numPr>
          <w:ilvl w:val="0"/>
          <w:numId w:val="2"/>
        </w:numPr>
      </w:pPr>
      <w:r w:rsidRPr="003628E7">
        <w:t>Nine themes were consistent across regions, disability types, and engagement methods.</w:t>
      </w:r>
    </w:p>
    <w:p w14:paraId="0191DBC5" w14:textId="77777777" w:rsidR="003628E7" w:rsidRPr="003628E7" w:rsidRDefault="003628E7" w:rsidP="003628E7">
      <w:pPr>
        <w:pStyle w:val="ListParagraph"/>
        <w:numPr>
          <w:ilvl w:val="0"/>
          <w:numId w:val="6"/>
        </w:numPr>
      </w:pPr>
      <w:r w:rsidRPr="003628E7">
        <w:t>Workforce instability and underinvestment</w:t>
      </w:r>
    </w:p>
    <w:p w14:paraId="53A8BDC7" w14:textId="77777777" w:rsidR="003628E7" w:rsidRPr="003628E7" w:rsidRDefault="003628E7" w:rsidP="003628E7">
      <w:pPr>
        <w:pStyle w:val="ListParagraph"/>
        <w:numPr>
          <w:ilvl w:val="0"/>
          <w:numId w:val="6"/>
        </w:numPr>
      </w:pPr>
      <w:r w:rsidRPr="003628E7">
        <w:t>System complexity, fragmentation, and navigation challenges</w:t>
      </w:r>
    </w:p>
    <w:p w14:paraId="0B855164" w14:textId="77777777" w:rsidR="003628E7" w:rsidRPr="003628E7" w:rsidRDefault="003628E7" w:rsidP="003628E7">
      <w:pPr>
        <w:pStyle w:val="ListParagraph"/>
        <w:numPr>
          <w:ilvl w:val="0"/>
          <w:numId w:val="6"/>
        </w:numPr>
      </w:pPr>
      <w:r w:rsidRPr="003628E7">
        <w:t xml:space="preserve">Policy misalignment with community needs </w:t>
      </w:r>
    </w:p>
    <w:p w14:paraId="14901CF5" w14:textId="77777777" w:rsidR="003628E7" w:rsidRPr="003628E7" w:rsidRDefault="003628E7" w:rsidP="003628E7">
      <w:pPr>
        <w:pStyle w:val="ListParagraph"/>
        <w:numPr>
          <w:ilvl w:val="0"/>
          <w:numId w:val="6"/>
        </w:numPr>
      </w:pPr>
      <w:r w:rsidRPr="003628E7">
        <w:t>Housing without services leads to instability</w:t>
      </w:r>
    </w:p>
    <w:p w14:paraId="77B39C3F" w14:textId="77777777" w:rsidR="003628E7" w:rsidRPr="003628E7" w:rsidRDefault="003628E7" w:rsidP="003628E7">
      <w:pPr>
        <w:pStyle w:val="ListParagraph"/>
        <w:numPr>
          <w:ilvl w:val="0"/>
          <w:numId w:val="6"/>
        </w:numPr>
      </w:pPr>
      <w:r w:rsidRPr="003628E7">
        <w:t>Crisis system gaps and institutional overreliance</w:t>
      </w:r>
    </w:p>
    <w:p w14:paraId="407E1466" w14:textId="77777777" w:rsidR="003628E7" w:rsidRPr="003628E7" w:rsidRDefault="003628E7" w:rsidP="003628E7">
      <w:pPr>
        <w:pStyle w:val="ListParagraph"/>
        <w:numPr>
          <w:ilvl w:val="0"/>
          <w:numId w:val="6"/>
        </w:numPr>
      </w:pPr>
      <w:r w:rsidRPr="003628E7">
        <w:t>Waiver waitlists and structural inequity</w:t>
      </w:r>
    </w:p>
    <w:p w14:paraId="3FE15C1B" w14:textId="77777777" w:rsidR="003628E7" w:rsidRPr="003628E7" w:rsidRDefault="003628E7" w:rsidP="003628E7">
      <w:pPr>
        <w:pStyle w:val="ListParagraph"/>
        <w:numPr>
          <w:ilvl w:val="0"/>
          <w:numId w:val="6"/>
        </w:numPr>
      </w:pPr>
      <w:r w:rsidRPr="003628E7">
        <w:t>Leadership disconnect and token engagement</w:t>
      </w:r>
    </w:p>
    <w:p w14:paraId="4397437C" w14:textId="77777777" w:rsidR="003628E7" w:rsidRPr="003628E7" w:rsidRDefault="003628E7" w:rsidP="003628E7">
      <w:pPr>
        <w:pStyle w:val="ListParagraph"/>
        <w:numPr>
          <w:ilvl w:val="0"/>
          <w:numId w:val="6"/>
        </w:numPr>
      </w:pPr>
      <w:r w:rsidRPr="003628E7">
        <w:t>Communication breakdown/silos</w:t>
      </w:r>
    </w:p>
    <w:p w14:paraId="1D04D76C" w14:textId="77777777" w:rsidR="003628E7" w:rsidRPr="003628E7" w:rsidRDefault="003628E7" w:rsidP="003628E7">
      <w:pPr>
        <w:pStyle w:val="ListParagraph"/>
        <w:numPr>
          <w:ilvl w:val="0"/>
          <w:numId w:val="6"/>
        </w:numPr>
      </w:pPr>
      <w:r w:rsidRPr="003628E7">
        <w:t>Program sustainability and funding continuity issues</w:t>
      </w:r>
    </w:p>
    <w:p w14:paraId="703C5349" w14:textId="77777777" w:rsidR="003628E7" w:rsidRDefault="003628E7" w:rsidP="002C6BA0">
      <w:pPr>
        <w:rPr>
          <w:b/>
          <w:bCs/>
        </w:rPr>
      </w:pPr>
    </w:p>
    <w:p w14:paraId="77612F2B" w14:textId="1915B137" w:rsidR="002C6BA0" w:rsidRDefault="002C6BA0" w:rsidP="002C6BA0">
      <w:pPr>
        <w:rPr>
          <w:b/>
          <w:bCs/>
        </w:rPr>
      </w:pPr>
      <w:r w:rsidRPr="002C6BA0">
        <w:rPr>
          <w:b/>
          <w:bCs/>
        </w:rPr>
        <w:t>Public Comment</w:t>
      </w:r>
    </w:p>
    <w:p w14:paraId="1FCE6B30" w14:textId="305565B6" w:rsidR="002C6BA0" w:rsidRDefault="002C6BA0" w:rsidP="00167E15">
      <w:pPr>
        <w:pStyle w:val="ListParagraph"/>
        <w:numPr>
          <w:ilvl w:val="0"/>
          <w:numId w:val="3"/>
        </w:numPr>
      </w:pPr>
      <w:r>
        <w:t>Tally Wells</w:t>
      </w:r>
      <w:r w:rsidR="00167E15">
        <w:t xml:space="preserve"> emphasized the critical role of the Medicaid funding for IDD services and warned of potential shortfalls due to the lack of a state budget.</w:t>
      </w:r>
    </w:p>
    <w:p w14:paraId="5B4736AC" w14:textId="421F4186" w:rsidR="00167E15" w:rsidRDefault="00167E15" w:rsidP="00167E15">
      <w:pPr>
        <w:pStyle w:val="ListParagraph"/>
        <w:numPr>
          <w:ilvl w:val="0"/>
          <w:numId w:val="3"/>
        </w:numPr>
      </w:pPr>
      <w:r>
        <w:t>Jessica reiterated the need for support to improve service access for diverse families. She discuss</w:t>
      </w:r>
      <w:r w:rsidR="00E456B7">
        <w:t>ed</w:t>
      </w:r>
      <w:r>
        <w:t xml:space="preserve"> the impact of the frequent staff turnover on documentation and follow-up, leading to repeated paperwork and lost connections. </w:t>
      </w:r>
    </w:p>
    <w:p w14:paraId="3AB92089" w14:textId="7D3E2584" w:rsidR="00167E15" w:rsidRDefault="00DD5CA7" w:rsidP="00167E15">
      <w:pPr>
        <w:rPr>
          <w:b/>
          <w:bCs/>
        </w:rPr>
      </w:pPr>
      <w:r w:rsidRPr="00DD5CA7">
        <w:rPr>
          <w:b/>
          <w:bCs/>
        </w:rPr>
        <w:lastRenderedPageBreak/>
        <w:t>Closing Remarks &amp; Adjournment</w:t>
      </w:r>
      <w:r w:rsidR="00486EC4">
        <w:rPr>
          <w:b/>
          <w:bCs/>
        </w:rPr>
        <w:t xml:space="preserve"> </w:t>
      </w:r>
      <w:r w:rsidR="003628E7">
        <w:rPr>
          <w:b/>
          <w:bCs/>
        </w:rPr>
        <w:t xml:space="preserve">- Deb Goda </w:t>
      </w:r>
    </w:p>
    <w:p w14:paraId="23D151B9" w14:textId="13A95794" w:rsidR="00DD5CA7" w:rsidRDefault="00DD5CA7" w:rsidP="00167E15">
      <w:r>
        <w:t xml:space="preserve">Deb thanked all participants for their engagement and commitment. </w:t>
      </w:r>
    </w:p>
    <w:p w14:paraId="704BE158" w14:textId="77B7D8D6" w:rsidR="00DD5CA7" w:rsidRDefault="006E1B8A" w:rsidP="00167E15">
      <w:r>
        <w:t xml:space="preserve">Presentation slides will be emailed to attendees by close of business (COB) this Friday, 3/20/26. </w:t>
      </w:r>
    </w:p>
    <w:p w14:paraId="0DF30909" w14:textId="77777777" w:rsidR="00F457FE" w:rsidRDefault="00F457FE" w:rsidP="00167E15"/>
    <w:p w14:paraId="644DFAD7" w14:textId="5B740BBC" w:rsidR="00DD5CA7" w:rsidRPr="00DD5CA7" w:rsidRDefault="00F457FE" w:rsidP="00167E15">
      <w:r w:rsidRPr="00F457FE">
        <w:t>In attendance (as noted in meeting chat)</w:t>
      </w:r>
    </w:p>
    <w:p w14:paraId="10DAB9D9" w14:textId="36CB5C5A" w:rsidR="005A7B66" w:rsidRPr="00036B55" w:rsidRDefault="005A7B66" w:rsidP="00C15D7D">
      <w:pPr>
        <w:pStyle w:val="NoSpacing"/>
        <w:ind w:left="720"/>
        <w:rPr>
          <w:b/>
          <w:bCs/>
        </w:rPr>
      </w:pPr>
      <w:r>
        <w:t>Deb Goda</w:t>
      </w:r>
      <w:r w:rsidR="00486EC4">
        <w:t xml:space="preserve"> </w:t>
      </w:r>
      <w:r>
        <w:t xml:space="preserve">- NCDHHS, OOS </w:t>
      </w:r>
    </w:p>
    <w:p w14:paraId="32186AD6" w14:textId="497FBDFC" w:rsidR="005A7B66" w:rsidRPr="002803F9" w:rsidRDefault="005A7B66" w:rsidP="00C15D7D">
      <w:pPr>
        <w:pStyle w:val="NoSpacing"/>
        <w:ind w:left="720"/>
      </w:pPr>
      <w:r w:rsidRPr="002803F9">
        <w:t>Tamara Smith</w:t>
      </w:r>
      <w:r w:rsidR="00486EC4">
        <w:t xml:space="preserve"> </w:t>
      </w:r>
      <w:r>
        <w:t>-</w:t>
      </w:r>
      <w:r w:rsidRPr="002803F9">
        <w:t xml:space="preserve"> NCDHHS, OOS/DMHDDSUS</w:t>
      </w:r>
    </w:p>
    <w:p w14:paraId="4CABDD38" w14:textId="0A119C16" w:rsidR="00F457FE" w:rsidRDefault="00F457FE" w:rsidP="00C15D7D">
      <w:pPr>
        <w:pStyle w:val="NoSpacing"/>
        <w:ind w:left="720"/>
      </w:pPr>
      <w:r>
        <w:t>Jessica Frisina</w:t>
      </w:r>
      <w:r w:rsidR="00486EC4">
        <w:t xml:space="preserve"> </w:t>
      </w:r>
      <w:r w:rsidR="005A7B66">
        <w:t>-</w:t>
      </w:r>
      <w:r>
        <w:t xml:space="preserve"> </w:t>
      </w:r>
      <w:r w:rsidRPr="00F457FE">
        <w:t>NCDHHS, Div</w:t>
      </w:r>
      <w:r w:rsidR="002803F9">
        <w:t>ision</w:t>
      </w:r>
      <w:r w:rsidRPr="00F457FE">
        <w:t xml:space="preserve"> of Social Services (DSS)</w:t>
      </w:r>
      <w:r>
        <w:t xml:space="preserve"> </w:t>
      </w:r>
    </w:p>
    <w:p w14:paraId="0F0DBF49" w14:textId="4F594BE7" w:rsidR="00F457FE" w:rsidRDefault="00F457FE" w:rsidP="00C15D7D">
      <w:pPr>
        <w:pStyle w:val="NoSpacing"/>
        <w:ind w:left="720"/>
      </w:pPr>
      <w:r>
        <w:t>Jessica Aguilar</w:t>
      </w:r>
      <w:r w:rsidR="00486EC4">
        <w:t xml:space="preserve"> </w:t>
      </w:r>
      <w:r w:rsidR="005A7B66">
        <w:t>-</w:t>
      </w:r>
      <w:r>
        <w:t xml:space="preserve"> SCFAC member  </w:t>
      </w:r>
    </w:p>
    <w:p w14:paraId="70E2929D" w14:textId="59FCB0EA" w:rsidR="00F457FE" w:rsidRDefault="00F457FE" w:rsidP="00C15D7D">
      <w:pPr>
        <w:pStyle w:val="NoSpacing"/>
        <w:ind w:left="720"/>
      </w:pPr>
      <w:r>
        <w:t>Gwen Thompson</w:t>
      </w:r>
      <w:r w:rsidR="00486EC4">
        <w:t xml:space="preserve"> </w:t>
      </w:r>
      <w:r w:rsidR="005A7B66">
        <w:t>-</w:t>
      </w:r>
      <w:r>
        <w:t xml:space="preserve"> Mathematica </w:t>
      </w:r>
    </w:p>
    <w:p w14:paraId="35480E9F" w14:textId="6F42AC50" w:rsidR="00F457FE" w:rsidRDefault="00F457FE" w:rsidP="00C15D7D">
      <w:pPr>
        <w:pStyle w:val="NoSpacing"/>
        <w:ind w:left="720"/>
      </w:pPr>
      <w:r>
        <w:t>Patricia Sikes</w:t>
      </w:r>
      <w:r w:rsidR="00486EC4">
        <w:t xml:space="preserve"> </w:t>
      </w:r>
      <w:r w:rsidR="005A7B66">
        <w:t>-</w:t>
      </w:r>
      <w:r>
        <w:t xml:space="preserve"> NCDHHS, Div</w:t>
      </w:r>
      <w:r w:rsidR="002803F9">
        <w:t>ision</w:t>
      </w:r>
      <w:r>
        <w:t xml:space="preserve"> of Services for the Blind </w:t>
      </w:r>
      <w:r w:rsidRPr="00F457FE">
        <w:t>(DSB</w:t>
      </w:r>
      <w:r>
        <w:rPr>
          <w:b/>
          <w:bCs/>
        </w:rPr>
        <w:t>)</w:t>
      </w:r>
    </w:p>
    <w:p w14:paraId="600E3F25" w14:textId="04BCB000" w:rsidR="00F457FE" w:rsidRDefault="00F457FE" w:rsidP="00C15D7D">
      <w:pPr>
        <w:pStyle w:val="NoSpacing"/>
        <w:ind w:left="720"/>
      </w:pPr>
      <w:r>
        <w:t xml:space="preserve">Dr. </w:t>
      </w:r>
      <w:proofErr w:type="spellStart"/>
      <w:r>
        <w:t>Uzama</w:t>
      </w:r>
      <w:proofErr w:type="spellEnd"/>
      <w:r>
        <w:t xml:space="preserve"> Price</w:t>
      </w:r>
      <w:r w:rsidR="00486EC4">
        <w:t xml:space="preserve"> </w:t>
      </w:r>
      <w:r>
        <w:t xml:space="preserve">- Healthy Blue Care Together </w:t>
      </w:r>
    </w:p>
    <w:p w14:paraId="2050B779" w14:textId="290AC0DE" w:rsidR="00F457FE" w:rsidRDefault="00F457FE" w:rsidP="00C15D7D">
      <w:pPr>
        <w:pStyle w:val="NoSpacing"/>
        <w:ind w:left="720"/>
      </w:pPr>
      <w:r>
        <w:t>Neal McHenry</w:t>
      </w:r>
      <w:r w:rsidR="00486EC4">
        <w:t xml:space="preserve"> </w:t>
      </w:r>
      <w:r w:rsidR="005A7B66">
        <w:t>-</w:t>
      </w:r>
      <w:r>
        <w:t xml:space="preserve"> NCDHHS, Office of General Counsel (OGC) </w:t>
      </w:r>
    </w:p>
    <w:p w14:paraId="093B5A8F" w14:textId="4EF37312" w:rsidR="00F457FE" w:rsidRDefault="00F457FE" w:rsidP="00C15D7D">
      <w:pPr>
        <w:pStyle w:val="NoSpacing"/>
        <w:ind w:left="720"/>
      </w:pPr>
      <w:r>
        <w:t>Drew Kristel</w:t>
      </w:r>
      <w:r w:rsidR="00486EC4">
        <w:t xml:space="preserve"> </w:t>
      </w:r>
      <w:r w:rsidR="005A7B66">
        <w:t>-</w:t>
      </w:r>
      <w:r>
        <w:t xml:space="preserve"> NCDHHS, Office of the Secretary </w:t>
      </w:r>
      <w:r>
        <w:rPr>
          <w:b/>
          <w:bCs/>
        </w:rPr>
        <w:t>(OOS)</w:t>
      </w:r>
    </w:p>
    <w:p w14:paraId="3F4C6492" w14:textId="3A6A6736" w:rsidR="00F457FE" w:rsidRDefault="00F457FE" w:rsidP="00C15D7D">
      <w:pPr>
        <w:pStyle w:val="NoSpacing"/>
        <w:ind w:left="720"/>
      </w:pPr>
      <w:r>
        <w:t>Janie Shivar</w:t>
      </w:r>
      <w:r w:rsidR="005A7B66">
        <w:t>-</w:t>
      </w:r>
      <w:r>
        <w:t xml:space="preserve"> NCDHHS, OOS </w:t>
      </w:r>
    </w:p>
    <w:p w14:paraId="52D203F0" w14:textId="7E607149" w:rsidR="00F457FE" w:rsidRDefault="00F457FE" w:rsidP="00C15D7D">
      <w:pPr>
        <w:pStyle w:val="NoSpacing"/>
        <w:ind w:left="720"/>
      </w:pPr>
      <w:r>
        <w:t>Jenny Hobbs</w:t>
      </w:r>
      <w:r w:rsidR="00486EC4">
        <w:t xml:space="preserve"> </w:t>
      </w:r>
      <w:r w:rsidR="005A7B66">
        <w:t>-</w:t>
      </w:r>
      <w:r>
        <w:t xml:space="preserve"> Advocates for Medically Fragile Kids and NC Child </w:t>
      </w:r>
    </w:p>
    <w:p w14:paraId="097B36C6" w14:textId="7AFDFAA6" w:rsidR="00F457FE" w:rsidRDefault="00F457FE" w:rsidP="00C15D7D">
      <w:pPr>
        <w:pStyle w:val="NoSpacing"/>
        <w:ind w:left="720"/>
      </w:pPr>
      <w:r>
        <w:t>Brad Owen</w:t>
      </w:r>
      <w:r w:rsidR="00486EC4">
        <w:t xml:space="preserve"> </w:t>
      </w:r>
      <w:r w:rsidR="005A7B66">
        <w:t>-</w:t>
      </w:r>
      <w:r>
        <w:t xml:space="preserve"> NCDHHS, OOS </w:t>
      </w:r>
    </w:p>
    <w:p w14:paraId="63DDDE2E" w14:textId="54C29340" w:rsidR="00F457FE" w:rsidRDefault="00F457FE" w:rsidP="00C15D7D">
      <w:pPr>
        <w:pStyle w:val="NoSpacing"/>
        <w:ind w:left="720"/>
      </w:pPr>
      <w:r>
        <w:t>Charlie Hittinger</w:t>
      </w:r>
      <w:r w:rsidR="00486EC4">
        <w:t xml:space="preserve"> </w:t>
      </w:r>
      <w:r w:rsidR="005A7B66">
        <w:t>-</w:t>
      </w:r>
      <w:r>
        <w:t xml:space="preserve"> NCDHHS </w:t>
      </w:r>
      <w:r>
        <w:rPr>
          <w:b/>
          <w:bCs/>
        </w:rPr>
        <w:t>(DSB)</w:t>
      </w:r>
    </w:p>
    <w:p w14:paraId="51A17389" w14:textId="0970B365" w:rsidR="00F457FE" w:rsidRDefault="00F457FE" w:rsidP="00C15D7D">
      <w:pPr>
        <w:pStyle w:val="NoSpacing"/>
        <w:ind w:left="720"/>
      </w:pPr>
      <w:r>
        <w:t>Sarah Lewis Peel</w:t>
      </w:r>
      <w:r w:rsidR="00486EC4">
        <w:t xml:space="preserve"> </w:t>
      </w:r>
      <w:r w:rsidR="005A7B66">
        <w:t>-</w:t>
      </w:r>
      <w:r>
        <w:t xml:space="preserve"> NCDHHS, DSS </w:t>
      </w:r>
    </w:p>
    <w:p w14:paraId="01FE52B8" w14:textId="0F6E192C" w:rsidR="00F457FE" w:rsidRDefault="00F457FE" w:rsidP="00C15D7D">
      <w:pPr>
        <w:pStyle w:val="NoSpacing"/>
        <w:ind w:left="720"/>
      </w:pPr>
      <w:r>
        <w:t>Philip Woodward</w:t>
      </w:r>
      <w:r w:rsidR="00486EC4">
        <w:t xml:space="preserve"> </w:t>
      </w:r>
      <w:r w:rsidR="005A7B66">
        <w:t>-</w:t>
      </w:r>
      <w:r>
        <w:t xml:space="preserve"> North Carolina Council on Developmental Disabilities (NCCDD) </w:t>
      </w:r>
    </w:p>
    <w:p w14:paraId="7254629C" w14:textId="43B2F6B6" w:rsidR="00F457FE" w:rsidRDefault="00F457FE" w:rsidP="00C15D7D">
      <w:pPr>
        <w:pStyle w:val="NoSpacing"/>
        <w:ind w:left="720"/>
      </w:pPr>
      <w:r>
        <w:t>Detra Purcell</w:t>
      </w:r>
      <w:r w:rsidR="00486EC4">
        <w:t xml:space="preserve"> </w:t>
      </w:r>
      <w:r w:rsidR="005A7B66">
        <w:t>-</w:t>
      </w:r>
      <w:r>
        <w:t xml:space="preserve"> NCDHHS, Division of Aging (DA) </w:t>
      </w:r>
    </w:p>
    <w:p w14:paraId="0B320148" w14:textId="35E3FFA4" w:rsidR="00F457FE" w:rsidRDefault="00F457FE" w:rsidP="00C15D7D">
      <w:pPr>
        <w:pStyle w:val="NoSpacing"/>
        <w:ind w:left="720"/>
      </w:pPr>
      <w:r>
        <w:t>Stacy Massey</w:t>
      </w:r>
      <w:r w:rsidR="00486EC4">
        <w:t xml:space="preserve"> </w:t>
      </w:r>
      <w:r w:rsidR="005A7B66">
        <w:t>-</w:t>
      </w:r>
      <w:r>
        <w:t xml:space="preserve"> CEO NC Senior Living Association </w:t>
      </w:r>
    </w:p>
    <w:p w14:paraId="64C518CE" w14:textId="0A694312" w:rsidR="00F457FE" w:rsidRDefault="00F457FE" w:rsidP="00C15D7D">
      <w:pPr>
        <w:pStyle w:val="NoSpacing"/>
        <w:ind w:left="720"/>
      </w:pPr>
      <w:r>
        <w:t>Sarah Tomlinson</w:t>
      </w:r>
      <w:r w:rsidR="00486EC4">
        <w:t xml:space="preserve"> </w:t>
      </w:r>
      <w:r w:rsidR="005A7B66">
        <w:t>-</w:t>
      </w:r>
      <w:r>
        <w:t xml:space="preserve"> </w:t>
      </w:r>
      <w:r w:rsidR="002803F9">
        <w:t xml:space="preserve">NCDHHS, </w:t>
      </w:r>
      <w:r>
        <w:t>Division of Health Benefits</w:t>
      </w:r>
      <w:r w:rsidR="002803F9">
        <w:t xml:space="preserve"> (DHB)</w:t>
      </w:r>
      <w:r>
        <w:t xml:space="preserve"> </w:t>
      </w:r>
    </w:p>
    <w:p w14:paraId="025FFC8C" w14:textId="53AF43D3" w:rsidR="00F457FE" w:rsidRDefault="00F457FE" w:rsidP="00C15D7D">
      <w:pPr>
        <w:pStyle w:val="NoSpacing"/>
        <w:ind w:left="720"/>
      </w:pPr>
      <w:r>
        <w:t>Eliza Lewis</w:t>
      </w:r>
      <w:r w:rsidR="00486EC4">
        <w:t xml:space="preserve"> </w:t>
      </w:r>
      <w:r w:rsidR="005A7B66">
        <w:t>-</w:t>
      </w:r>
      <w:r>
        <w:t xml:space="preserve"> </w:t>
      </w:r>
      <w:r w:rsidR="002803F9">
        <w:t>NCCDD</w:t>
      </w:r>
    </w:p>
    <w:p w14:paraId="34E9030A" w14:textId="7381524D" w:rsidR="00F457FE" w:rsidRDefault="00F457FE" w:rsidP="00C15D7D">
      <w:pPr>
        <w:pStyle w:val="NoSpacing"/>
        <w:ind w:left="720"/>
      </w:pPr>
      <w:r>
        <w:t>Chad Stage</w:t>
      </w:r>
      <w:r w:rsidR="00486EC4">
        <w:t xml:space="preserve"> </w:t>
      </w:r>
      <w:r w:rsidR="005A7B66">
        <w:t>-</w:t>
      </w:r>
      <w:r>
        <w:t xml:space="preserve"> Behavioral Health United Healthcare Community Plan </w:t>
      </w:r>
    </w:p>
    <w:p w14:paraId="5C0F6DA9" w14:textId="01DB19BF" w:rsidR="00F457FE" w:rsidRDefault="00F457FE" w:rsidP="00C15D7D">
      <w:pPr>
        <w:pStyle w:val="NoSpacing"/>
        <w:ind w:left="720"/>
      </w:pPr>
      <w:r>
        <w:t>Talley Wells</w:t>
      </w:r>
      <w:r w:rsidR="00486EC4">
        <w:t xml:space="preserve"> </w:t>
      </w:r>
      <w:r w:rsidR="005A7B66">
        <w:t>-</w:t>
      </w:r>
      <w:r>
        <w:t xml:space="preserve"> NCCDD </w:t>
      </w:r>
    </w:p>
    <w:p w14:paraId="20A52411" w14:textId="5BF14B83" w:rsidR="00F457FE" w:rsidRDefault="00F457FE" w:rsidP="00C15D7D">
      <w:pPr>
        <w:pStyle w:val="NoSpacing"/>
        <w:ind w:left="720"/>
      </w:pPr>
      <w:r>
        <w:t>Sarah Potter</w:t>
      </w:r>
      <w:r w:rsidR="00486EC4">
        <w:t xml:space="preserve">  </w:t>
      </w:r>
      <w:r w:rsidR="005A7B66">
        <w:t>-</w:t>
      </w:r>
      <w:r>
        <w:t xml:space="preserve"> parent advocate </w:t>
      </w:r>
    </w:p>
    <w:p w14:paraId="1EF6006F" w14:textId="668732A4" w:rsidR="00F457FE" w:rsidRDefault="00F457FE" w:rsidP="00C15D7D">
      <w:pPr>
        <w:pStyle w:val="NoSpacing"/>
        <w:ind w:left="720"/>
      </w:pPr>
      <w:r>
        <w:t>Megan Lee</w:t>
      </w:r>
      <w:r w:rsidR="00486EC4">
        <w:t xml:space="preserve"> </w:t>
      </w:r>
      <w:r w:rsidR="005A7B66">
        <w:t>-</w:t>
      </w:r>
      <w:r>
        <w:t xml:space="preserve"> </w:t>
      </w:r>
      <w:r w:rsidR="002803F9">
        <w:t>Technical Assistance Collaborative (</w:t>
      </w:r>
      <w:r>
        <w:t>TAC</w:t>
      </w:r>
      <w:r w:rsidR="002803F9">
        <w:t>)</w:t>
      </w:r>
      <w:r>
        <w:t xml:space="preserve"> </w:t>
      </w:r>
    </w:p>
    <w:p w14:paraId="3E691632" w14:textId="721E15AC" w:rsidR="00F457FE" w:rsidRDefault="00F457FE" w:rsidP="00C15D7D">
      <w:pPr>
        <w:pStyle w:val="NoSpacing"/>
        <w:ind w:left="720"/>
      </w:pPr>
      <w:r>
        <w:t>Bryan Dooley</w:t>
      </w:r>
      <w:r w:rsidR="00486EC4">
        <w:t xml:space="preserve"> </w:t>
      </w:r>
      <w:r w:rsidR="005A7B66">
        <w:t>-</w:t>
      </w:r>
      <w:r w:rsidR="002803F9">
        <w:t xml:space="preserve"> S</w:t>
      </w:r>
      <w:r>
        <w:t xml:space="preserve">olutions for </w:t>
      </w:r>
      <w:r w:rsidR="002803F9">
        <w:t>I</w:t>
      </w:r>
      <w:r>
        <w:t xml:space="preserve">ndependence </w:t>
      </w:r>
    </w:p>
    <w:p w14:paraId="73DFD173" w14:textId="7E833D00" w:rsidR="00F457FE" w:rsidRDefault="00F457FE" w:rsidP="00C15D7D">
      <w:pPr>
        <w:pStyle w:val="NoSpacing"/>
        <w:ind w:left="720"/>
      </w:pPr>
      <w:r>
        <w:t>Kenneth Bausell</w:t>
      </w:r>
      <w:r w:rsidR="00486EC4">
        <w:t xml:space="preserve"> </w:t>
      </w:r>
      <w:r w:rsidR="005A7B66">
        <w:t>-</w:t>
      </w:r>
      <w:r>
        <w:t xml:space="preserve"> NCDHHS</w:t>
      </w:r>
      <w:r w:rsidR="002803F9">
        <w:t>, Employment and Independence for People with Disabilities (EIPD)</w:t>
      </w:r>
    </w:p>
    <w:p w14:paraId="5D4F0138" w14:textId="75E3F207" w:rsidR="005A7B66" w:rsidRDefault="005A7B66" w:rsidP="00C15D7D">
      <w:pPr>
        <w:pStyle w:val="NoSpacing"/>
        <w:ind w:left="720"/>
      </w:pPr>
      <w:r>
        <w:t>Tina Barrett</w:t>
      </w:r>
      <w:r w:rsidR="00486EC4">
        <w:t xml:space="preserve"> </w:t>
      </w:r>
      <w:r>
        <w:t>-</w:t>
      </w:r>
      <w:r>
        <w:rPr>
          <w:b/>
          <w:bCs/>
        </w:rPr>
        <w:t xml:space="preserve"> </w:t>
      </w:r>
      <w:r w:rsidRPr="005A7B66">
        <w:t>NCDHHS, Division of Mental Health, Developmental Disabilities, and Substance Use Servies (DMHDDSUS)</w:t>
      </w:r>
    </w:p>
    <w:p w14:paraId="179946B6" w14:textId="09FF7627" w:rsidR="00F457FE" w:rsidRDefault="00F457FE" w:rsidP="00C15D7D">
      <w:pPr>
        <w:pStyle w:val="NoSpacing"/>
        <w:ind w:left="720"/>
      </w:pPr>
      <w:r>
        <w:t>Kathleen Gibson</w:t>
      </w:r>
      <w:r w:rsidR="00486EC4">
        <w:t xml:space="preserve"> </w:t>
      </w:r>
      <w:r w:rsidR="005A7B66">
        <w:t>-</w:t>
      </w:r>
      <w:r>
        <w:t xml:space="preserve"> Oxford House, Inc. </w:t>
      </w:r>
    </w:p>
    <w:p w14:paraId="74DC7E5C" w14:textId="1632C013" w:rsidR="00F457FE" w:rsidRPr="00036B55" w:rsidRDefault="00F457FE" w:rsidP="00C15D7D">
      <w:pPr>
        <w:pStyle w:val="NoSpacing"/>
        <w:ind w:left="720"/>
        <w:rPr>
          <w:b/>
          <w:bCs/>
        </w:rPr>
      </w:pPr>
      <w:r>
        <w:t>Josh Walker</w:t>
      </w:r>
      <w:r w:rsidR="00486EC4">
        <w:t xml:space="preserve"> </w:t>
      </w:r>
      <w:r w:rsidR="005A7B66">
        <w:t>-</w:t>
      </w:r>
      <w:r>
        <w:t xml:space="preserve"> NCDHHS</w:t>
      </w:r>
      <w:r w:rsidR="002803F9">
        <w:t>, OOS</w:t>
      </w:r>
      <w:r>
        <w:t xml:space="preserve"> </w:t>
      </w:r>
    </w:p>
    <w:p w14:paraId="77905940" w14:textId="547A8C54" w:rsidR="00F457FE" w:rsidRPr="00E2144D" w:rsidRDefault="00F457FE" w:rsidP="00C15D7D">
      <w:pPr>
        <w:pStyle w:val="NoSpacing"/>
        <w:ind w:left="720"/>
        <w:rPr>
          <w:b/>
          <w:bCs/>
        </w:rPr>
      </w:pPr>
      <w:r>
        <w:t>Rebecca Boss</w:t>
      </w:r>
      <w:r w:rsidR="00486EC4">
        <w:t xml:space="preserve"> </w:t>
      </w:r>
      <w:r w:rsidR="005A7B66">
        <w:t>-</w:t>
      </w:r>
      <w:r>
        <w:t xml:space="preserve"> TAC </w:t>
      </w:r>
    </w:p>
    <w:p w14:paraId="26438A67" w14:textId="435C6B75" w:rsidR="00F457FE" w:rsidRPr="00E2144D" w:rsidRDefault="00F457FE" w:rsidP="00C15D7D">
      <w:pPr>
        <w:pStyle w:val="NoSpacing"/>
        <w:ind w:left="720"/>
        <w:rPr>
          <w:b/>
          <w:bCs/>
        </w:rPr>
      </w:pPr>
      <w:r>
        <w:t>Angela Smith</w:t>
      </w:r>
      <w:r w:rsidR="00486EC4">
        <w:t xml:space="preserve"> </w:t>
      </w:r>
      <w:r w:rsidR="005A7B66">
        <w:t>-</w:t>
      </w:r>
      <w:r>
        <w:t xml:space="preserve"> NC</w:t>
      </w:r>
      <w:r w:rsidR="002803F9">
        <w:t xml:space="preserve">DHHS, DHB </w:t>
      </w:r>
    </w:p>
    <w:p w14:paraId="21992DD5" w14:textId="618FC4EB" w:rsidR="00F457FE" w:rsidRPr="00E2144D" w:rsidRDefault="00F457FE" w:rsidP="00C15D7D">
      <w:pPr>
        <w:pStyle w:val="NoSpacing"/>
        <w:ind w:left="720"/>
        <w:rPr>
          <w:b/>
          <w:bCs/>
        </w:rPr>
      </w:pPr>
      <w:r>
        <w:t>Chris Eagan</w:t>
      </w:r>
      <w:r w:rsidR="00486EC4">
        <w:t xml:space="preserve"> </w:t>
      </w:r>
      <w:r w:rsidR="005A7B66">
        <w:t>-</w:t>
      </w:r>
      <w:r>
        <w:t xml:space="preserve"> </w:t>
      </w:r>
      <w:r w:rsidR="002803F9">
        <w:t>NCDHHS, EIPD</w:t>
      </w:r>
    </w:p>
    <w:p w14:paraId="30B0433F" w14:textId="79A408A3" w:rsidR="00F457FE" w:rsidRDefault="00F457FE" w:rsidP="00C15D7D">
      <w:pPr>
        <w:pStyle w:val="NoSpacing"/>
        <w:ind w:left="720"/>
      </w:pPr>
      <w:r>
        <w:t>Karen Feasel</w:t>
      </w:r>
      <w:r w:rsidR="00486EC4">
        <w:t xml:space="preserve"> </w:t>
      </w:r>
      <w:r w:rsidR="005A7B66">
        <w:t>-</w:t>
      </w:r>
      <w:r>
        <w:t xml:space="preserve"> </w:t>
      </w:r>
      <w:r w:rsidR="002803F9" w:rsidRPr="002803F9">
        <w:t>NCDHHS, DMHDDSUS</w:t>
      </w:r>
    </w:p>
    <w:p w14:paraId="1ABFE6BE" w14:textId="06B55FF1" w:rsidR="00F457FE" w:rsidRDefault="00F457FE" w:rsidP="00C15D7D">
      <w:pPr>
        <w:pStyle w:val="NoSpacing"/>
        <w:ind w:left="720"/>
      </w:pPr>
      <w:r>
        <w:lastRenderedPageBreak/>
        <w:t>Julie Bloomingdale</w:t>
      </w:r>
      <w:r w:rsidR="00486EC4">
        <w:t xml:space="preserve"> </w:t>
      </w:r>
      <w:r w:rsidR="005A7B66">
        <w:t>-</w:t>
      </w:r>
      <w:r>
        <w:t xml:space="preserve"> </w:t>
      </w:r>
      <w:r w:rsidR="005A7B66">
        <w:t>NCDHHS, EIPD</w:t>
      </w:r>
    </w:p>
    <w:p w14:paraId="6171DFFE" w14:textId="303C70F2" w:rsidR="00F457FE" w:rsidRDefault="00F457FE" w:rsidP="00C15D7D">
      <w:pPr>
        <w:pStyle w:val="NoSpacing"/>
        <w:ind w:left="720"/>
      </w:pPr>
      <w:r>
        <w:t>Katie Visconti</w:t>
      </w:r>
      <w:r w:rsidR="00486EC4">
        <w:t xml:space="preserve"> </w:t>
      </w:r>
      <w:r w:rsidR="005A7B66">
        <w:t>-</w:t>
      </w:r>
      <w:r>
        <w:t xml:space="preserve"> </w:t>
      </w:r>
      <w:r w:rsidR="005A7B66">
        <w:t xml:space="preserve">NCDHHS, DMHDDSUS </w:t>
      </w:r>
    </w:p>
    <w:p w14:paraId="021D6EC7" w14:textId="79ACBCCF" w:rsidR="00F457FE" w:rsidRDefault="00F457FE" w:rsidP="00C15D7D">
      <w:pPr>
        <w:pStyle w:val="NoSpacing"/>
        <w:ind w:left="720"/>
      </w:pPr>
      <w:r>
        <w:t>Kayshin Chan</w:t>
      </w:r>
      <w:r w:rsidR="00486EC4">
        <w:t xml:space="preserve"> </w:t>
      </w:r>
      <w:r w:rsidR="005A7B66">
        <w:t>-</w:t>
      </w:r>
      <w:r>
        <w:t xml:space="preserve"> Mathematica </w:t>
      </w:r>
    </w:p>
    <w:p w14:paraId="0300885F" w14:textId="267638EA" w:rsidR="00F457FE" w:rsidRDefault="00F457FE" w:rsidP="00C15D7D">
      <w:pPr>
        <w:pStyle w:val="NoSpacing"/>
        <w:ind w:left="720"/>
      </w:pPr>
      <w:r>
        <w:t>Vickie Callair</w:t>
      </w:r>
      <w:r w:rsidR="00486EC4">
        <w:t xml:space="preserve"> </w:t>
      </w:r>
      <w:r w:rsidR="005A7B66">
        <w:t>-</w:t>
      </w:r>
      <w:r>
        <w:t xml:space="preserve"> NCDHHS</w:t>
      </w:r>
      <w:r w:rsidR="005A7B66">
        <w:t>, OOS</w:t>
      </w:r>
      <w:r>
        <w:t xml:space="preserve"> </w:t>
      </w:r>
    </w:p>
    <w:p w14:paraId="67E78D01" w14:textId="77777777" w:rsidR="00F457FE" w:rsidRPr="00977CE8" w:rsidRDefault="00F457FE" w:rsidP="00C15D7D">
      <w:pPr>
        <w:pStyle w:val="NoSpacing"/>
        <w:ind w:left="720"/>
        <w:rPr>
          <w:b/>
          <w:bCs/>
        </w:rPr>
      </w:pPr>
    </w:p>
    <w:p w14:paraId="45CE4641" w14:textId="77777777" w:rsidR="00167E15" w:rsidRPr="002C6BA0" w:rsidRDefault="00167E15" w:rsidP="00C15D7D">
      <w:pPr>
        <w:pStyle w:val="NoSpacing"/>
        <w:ind w:left="720"/>
      </w:pPr>
    </w:p>
    <w:p w14:paraId="70E31619" w14:textId="77777777" w:rsidR="00DC1025" w:rsidRDefault="00DC1025"/>
    <w:p w14:paraId="20286A3C" w14:textId="77777777" w:rsidR="00DC1025" w:rsidRDefault="00DC1025"/>
    <w:p w14:paraId="59CC5371" w14:textId="77777777" w:rsidR="00DC1025" w:rsidRDefault="00DC1025"/>
    <w:sectPr w:rsidR="00DC10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D1CB" w14:textId="77777777" w:rsidR="0097088A" w:rsidRDefault="0097088A" w:rsidP="003628E7">
      <w:pPr>
        <w:spacing w:after="0" w:line="240" w:lineRule="auto"/>
      </w:pPr>
      <w:r>
        <w:separator/>
      </w:r>
    </w:p>
  </w:endnote>
  <w:endnote w:type="continuationSeparator" w:id="0">
    <w:p w14:paraId="37F2F9F9" w14:textId="77777777" w:rsidR="0097088A" w:rsidRDefault="0097088A" w:rsidP="0036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285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35AA8" w14:textId="0A1A0619" w:rsidR="003628E7" w:rsidRDefault="003628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6A63D" w14:textId="77777777" w:rsidR="003628E7" w:rsidRDefault="00362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6754" w14:textId="77777777" w:rsidR="0097088A" w:rsidRDefault="0097088A" w:rsidP="003628E7">
      <w:pPr>
        <w:spacing w:after="0" w:line="240" w:lineRule="auto"/>
      </w:pPr>
      <w:r>
        <w:separator/>
      </w:r>
    </w:p>
  </w:footnote>
  <w:footnote w:type="continuationSeparator" w:id="0">
    <w:p w14:paraId="14EE5EE4" w14:textId="77777777" w:rsidR="0097088A" w:rsidRDefault="0097088A" w:rsidP="00362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CB4"/>
    <w:multiLevelType w:val="hybridMultilevel"/>
    <w:tmpl w:val="AAC4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579FA"/>
    <w:multiLevelType w:val="hybridMultilevel"/>
    <w:tmpl w:val="625CEBAA"/>
    <w:lvl w:ilvl="0" w:tplc="95E04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EE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4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AD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4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2B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A4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587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5147C3"/>
    <w:multiLevelType w:val="hybridMultilevel"/>
    <w:tmpl w:val="6060A0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4B4205"/>
    <w:multiLevelType w:val="hybridMultilevel"/>
    <w:tmpl w:val="FEB8A390"/>
    <w:lvl w:ilvl="0" w:tplc="32B6B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AA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28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80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08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4E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A7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261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CD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CF015E"/>
    <w:multiLevelType w:val="hybridMultilevel"/>
    <w:tmpl w:val="674A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D203D"/>
    <w:multiLevelType w:val="hybridMultilevel"/>
    <w:tmpl w:val="4014B5C0"/>
    <w:lvl w:ilvl="0" w:tplc="21868E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91246"/>
    <w:multiLevelType w:val="hybridMultilevel"/>
    <w:tmpl w:val="9ACE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917843">
    <w:abstractNumId w:val="4"/>
  </w:num>
  <w:num w:numId="2" w16cid:durableId="1381516118">
    <w:abstractNumId w:val="6"/>
  </w:num>
  <w:num w:numId="3" w16cid:durableId="413627413">
    <w:abstractNumId w:val="0"/>
  </w:num>
  <w:num w:numId="4" w16cid:durableId="845486894">
    <w:abstractNumId w:val="1"/>
  </w:num>
  <w:num w:numId="5" w16cid:durableId="74401447">
    <w:abstractNumId w:val="3"/>
  </w:num>
  <w:num w:numId="6" w16cid:durableId="1473786206">
    <w:abstractNumId w:val="2"/>
  </w:num>
  <w:num w:numId="7" w16cid:durableId="1265653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0A"/>
    <w:rsid w:val="0003447A"/>
    <w:rsid w:val="00053D3F"/>
    <w:rsid w:val="00064C71"/>
    <w:rsid w:val="00076730"/>
    <w:rsid w:val="000E2A9E"/>
    <w:rsid w:val="001511D7"/>
    <w:rsid w:val="0015671E"/>
    <w:rsid w:val="00167E15"/>
    <w:rsid w:val="001826D9"/>
    <w:rsid w:val="001D26FD"/>
    <w:rsid w:val="00216B06"/>
    <w:rsid w:val="002363E5"/>
    <w:rsid w:val="00260F4B"/>
    <w:rsid w:val="002803F9"/>
    <w:rsid w:val="002C6BA0"/>
    <w:rsid w:val="002C760E"/>
    <w:rsid w:val="002D3446"/>
    <w:rsid w:val="003628E7"/>
    <w:rsid w:val="003E01D3"/>
    <w:rsid w:val="00486EC4"/>
    <w:rsid w:val="004F4470"/>
    <w:rsid w:val="00511535"/>
    <w:rsid w:val="005951D2"/>
    <w:rsid w:val="005A39DB"/>
    <w:rsid w:val="005A7B66"/>
    <w:rsid w:val="006256C7"/>
    <w:rsid w:val="006E1B8A"/>
    <w:rsid w:val="00752B1D"/>
    <w:rsid w:val="007A1ECE"/>
    <w:rsid w:val="007E4322"/>
    <w:rsid w:val="00930544"/>
    <w:rsid w:val="00940D7B"/>
    <w:rsid w:val="0097088A"/>
    <w:rsid w:val="0097545B"/>
    <w:rsid w:val="009948E3"/>
    <w:rsid w:val="009E6EB9"/>
    <w:rsid w:val="00A048C0"/>
    <w:rsid w:val="00A1620A"/>
    <w:rsid w:val="00B65326"/>
    <w:rsid w:val="00B9627D"/>
    <w:rsid w:val="00C15D7D"/>
    <w:rsid w:val="00C33D60"/>
    <w:rsid w:val="00CC00A2"/>
    <w:rsid w:val="00D51795"/>
    <w:rsid w:val="00D85D32"/>
    <w:rsid w:val="00DC1025"/>
    <w:rsid w:val="00DD5CA7"/>
    <w:rsid w:val="00DE4E65"/>
    <w:rsid w:val="00E056A6"/>
    <w:rsid w:val="00E3110B"/>
    <w:rsid w:val="00E356B9"/>
    <w:rsid w:val="00E456B7"/>
    <w:rsid w:val="00F4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760D"/>
  <w15:chartTrackingRefBased/>
  <w15:docId w15:val="{11D3161C-58E0-46F7-9D3C-100E3DA7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0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456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2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E7"/>
  </w:style>
  <w:style w:type="paragraph" w:styleId="Footer">
    <w:name w:val="footer"/>
    <w:basedOn w:val="Normal"/>
    <w:link w:val="FooterChar"/>
    <w:uiPriority w:val="99"/>
    <w:unhideWhenUsed/>
    <w:rsid w:val="00362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E7"/>
  </w:style>
  <w:style w:type="paragraph" w:styleId="NoSpacing">
    <w:name w:val="No Spacing"/>
    <w:uiPriority w:val="1"/>
    <w:qFormat/>
    <w:rsid w:val="00F457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57F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6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4900</Characters>
  <Application>Microsoft Office Word</Application>
  <DocSecurity>0</DocSecurity>
  <Lines>115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Aiken, Sharethea</dc:creator>
  <cp:keywords/>
  <dc:description/>
  <cp:lastModifiedBy>Aiken, Sharethea</cp:lastModifiedBy>
  <cp:revision>2</cp:revision>
  <dcterms:created xsi:type="dcterms:W3CDTF">2026-03-27T20:24:00Z</dcterms:created>
  <dcterms:modified xsi:type="dcterms:W3CDTF">2026-03-27T20:24:00Z</dcterms:modified>
</cp:coreProperties>
</file>