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DFB2B" w14:textId="73E4AF56" w:rsidR="00527E22" w:rsidRPr="00CE449A" w:rsidRDefault="00527E22" w:rsidP="00EB46A9">
      <w:pPr>
        <w:spacing w:after="160" w:line="259" w:lineRule="auto"/>
        <w:contextualSpacing/>
        <w:jc w:val="center"/>
        <w:rPr>
          <w:rFonts w:asciiTheme="minorHAnsi" w:eastAsiaTheme="minorHAnsi" w:hAnsiTheme="minorHAnsi" w:cstheme="minorBidi"/>
          <w:b/>
          <w:bCs/>
          <w:sz w:val="32"/>
          <w:szCs w:val="32"/>
          <w:u w:val="single"/>
        </w:rPr>
      </w:pPr>
      <w:bookmarkStart w:id="0" w:name="_GoBack"/>
      <w:bookmarkEnd w:id="0"/>
      <w:r w:rsidRPr="00CE449A">
        <w:rPr>
          <w:rFonts w:asciiTheme="minorHAnsi" w:eastAsiaTheme="minorHAnsi" w:hAnsiTheme="minorHAnsi" w:cstheme="minorBidi"/>
          <w:b/>
          <w:bCs/>
          <w:sz w:val="32"/>
          <w:szCs w:val="32"/>
          <w:u w:val="single"/>
        </w:rPr>
        <w:t xml:space="preserve">COVID-19 Telehealth Quick Start </w:t>
      </w:r>
      <w:r w:rsidR="00CE449A">
        <w:rPr>
          <w:rFonts w:asciiTheme="minorHAnsi" w:eastAsiaTheme="minorHAnsi" w:hAnsiTheme="minorHAnsi" w:cstheme="minorBidi"/>
          <w:b/>
          <w:bCs/>
          <w:sz w:val="32"/>
          <w:szCs w:val="32"/>
          <w:u w:val="single"/>
        </w:rPr>
        <w:t>Guide</w:t>
      </w:r>
    </w:p>
    <w:p w14:paraId="00249ABB" w14:textId="1A29421A" w:rsidR="00527E22" w:rsidRPr="00954813" w:rsidRDefault="00527E22" w:rsidP="00655A7B">
      <w:pPr>
        <w:pStyle w:val="ListParagraph"/>
        <w:numPr>
          <w:ilvl w:val="0"/>
          <w:numId w:val="6"/>
        </w:numPr>
        <w:spacing w:after="160" w:line="259" w:lineRule="auto"/>
        <w:jc w:val="both"/>
        <w:rPr>
          <w:rFonts w:asciiTheme="minorHAnsi" w:eastAsiaTheme="minorHAnsi" w:hAnsiTheme="minorHAnsi" w:cstheme="minorBidi"/>
          <w:b/>
          <w:bCs/>
          <w:color w:val="0070C0"/>
        </w:rPr>
      </w:pPr>
      <w:r w:rsidRPr="00954813">
        <w:rPr>
          <w:rFonts w:asciiTheme="minorHAnsi" w:eastAsiaTheme="minorHAnsi" w:hAnsiTheme="minorHAnsi" w:cstheme="minorBidi"/>
          <w:b/>
          <w:bCs/>
          <w:color w:val="0070C0"/>
          <w:sz w:val="40"/>
          <w:szCs w:val="40"/>
          <w:u w:val="single"/>
        </w:rPr>
        <w:t>A</w:t>
      </w:r>
      <w:r w:rsidRPr="00954813">
        <w:rPr>
          <w:rFonts w:asciiTheme="minorHAnsi" w:eastAsiaTheme="minorHAnsi" w:hAnsiTheme="minorHAnsi" w:cstheme="minorBidi"/>
          <w:b/>
          <w:bCs/>
          <w:color w:val="0070C0"/>
          <w:u w:val="single"/>
        </w:rPr>
        <w:t>SSESS</w:t>
      </w:r>
      <w:r w:rsidRPr="00954813">
        <w:rPr>
          <w:rFonts w:asciiTheme="minorHAnsi" w:eastAsiaTheme="minorHAnsi" w:hAnsiTheme="minorHAnsi" w:cstheme="minorBidi"/>
          <w:b/>
          <w:bCs/>
          <w:color w:val="0070C0"/>
        </w:rPr>
        <w:t xml:space="preserve"> – What does my organization need to get started with Telehealth amid COVID-19?</w:t>
      </w:r>
    </w:p>
    <w:tbl>
      <w:tblPr>
        <w:tblStyle w:val="TableGrid"/>
        <w:tblW w:w="10620" w:type="dxa"/>
        <w:tblInd w:w="174" w:type="dxa"/>
        <w:tblLook w:val="04A0" w:firstRow="1" w:lastRow="0" w:firstColumn="1" w:lastColumn="0" w:noHBand="0" w:noVBand="1"/>
      </w:tblPr>
      <w:tblGrid>
        <w:gridCol w:w="1890"/>
        <w:gridCol w:w="8730"/>
      </w:tblGrid>
      <w:tr w:rsidR="00EC0AC2" w14:paraId="657D0A55" w14:textId="77777777" w:rsidTr="5108FBD0">
        <w:tc>
          <w:tcPr>
            <w:tcW w:w="1890" w:type="dxa"/>
            <w:shd w:val="clear" w:color="auto" w:fill="D9E2F3" w:themeFill="accent1" w:themeFillTint="33"/>
          </w:tcPr>
          <w:p w14:paraId="57A3922B" w14:textId="4293EEBD" w:rsidR="00EC0AC2" w:rsidRPr="00CF130A" w:rsidRDefault="00EC0AC2" w:rsidP="043189D6">
            <w:pPr>
              <w:pStyle w:val="ListParagraph"/>
              <w:spacing w:after="160" w:line="259" w:lineRule="auto"/>
              <w:ind w:left="0"/>
              <w:jc w:val="center"/>
              <w:rPr>
                <w:rFonts w:asciiTheme="minorHAnsi" w:eastAsiaTheme="minorEastAsia" w:hAnsiTheme="minorHAnsi" w:cstheme="minorBidi"/>
                <w:b/>
              </w:rPr>
            </w:pPr>
            <w:r w:rsidRPr="043189D6">
              <w:rPr>
                <w:rFonts w:asciiTheme="minorHAnsi" w:eastAsiaTheme="minorEastAsia" w:hAnsiTheme="minorHAnsi" w:cstheme="minorBidi"/>
                <w:b/>
              </w:rPr>
              <w:t>Getting Started</w:t>
            </w:r>
          </w:p>
        </w:tc>
        <w:tc>
          <w:tcPr>
            <w:tcW w:w="8730" w:type="dxa"/>
            <w:shd w:val="clear" w:color="auto" w:fill="D9E2F3" w:themeFill="accent1" w:themeFillTint="33"/>
          </w:tcPr>
          <w:p w14:paraId="392B56F6" w14:textId="1CAAAAC5" w:rsidR="00EC0AC2" w:rsidRPr="00CF130A" w:rsidRDefault="00EC0AC2" w:rsidP="043189D6">
            <w:pPr>
              <w:pStyle w:val="ListParagraph"/>
              <w:spacing w:after="160" w:line="259" w:lineRule="auto"/>
              <w:ind w:left="0"/>
              <w:jc w:val="center"/>
              <w:rPr>
                <w:rFonts w:asciiTheme="minorHAnsi" w:eastAsiaTheme="minorEastAsia" w:hAnsiTheme="minorHAnsi" w:cstheme="minorBidi"/>
                <w:b/>
              </w:rPr>
            </w:pPr>
            <w:r w:rsidRPr="043189D6">
              <w:rPr>
                <w:rFonts w:asciiTheme="minorHAnsi" w:eastAsiaTheme="minorEastAsia" w:hAnsiTheme="minorHAnsi" w:cstheme="minorBidi"/>
                <w:b/>
              </w:rPr>
              <w:t>AMA Quick Guide to telemedicine in practice</w:t>
            </w:r>
            <w:r w:rsidRPr="043189D6">
              <w:rPr>
                <w:rStyle w:val="EndnoteReference"/>
                <w:rFonts w:asciiTheme="minorHAnsi" w:eastAsiaTheme="minorEastAsia" w:hAnsiTheme="minorHAnsi" w:cstheme="minorBidi"/>
                <w:b/>
              </w:rPr>
              <w:endnoteReference w:id="2"/>
            </w:r>
            <w:r w:rsidRPr="043189D6">
              <w:rPr>
                <w:rFonts w:asciiTheme="minorHAnsi" w:eastAsiaTheme="minorEastAsia" w:hAnsiTheme="minorHAnsi" w:cstheme="minorBidi"/>
                <w:b/>
              </w:rPr>
              <w:t xml:space="preserve"> - </w:t>
            </w:r>
            <w:hyperlink r:id="rId11" w:history="1">
              <w:r w:rsidRPr="043189D6">
                <w:rPr>
                  <w:rStyle w:val="Hyperlink"/>
                  <w:rFonts w:asciiTheme="minorHAnsi" w:hAnsiTheme="minorHAnsi" w:cstheme="minorBidi"/>
                </w:rPr>
                <w:t>https://www.ama-assn.org/practice-management/digital/ama-quick-guide-telemedicine-practice</w:t>
              </w:r>
            </w:hyperlink>
          </w:p>
        </w:tc>
      </w:tr>
      <w:tr w:rsidR="00EC0AC2" w14:paraId="026B43DD" w14:textId="77777777" w:rsidTr="5108FBD0">
        <w:tc>
          <w:tcPr>
            <w:tcW w:w="1890" w:type="dxa"/>
          </w:tcPr>
          <w:p w14:paraId="09025AF7" w14:textId="0B18CA6A" w:rsidR="00EC0AC2" w:rsidRPr="00CF130A" w:rsidRDefault="7DE1D4A7" w:rsidP="1285F0EC">
            <w:pPr>
              <w:pStyle w:val="ListParagraph"/>
              <w:spacing w:after="160" w:line="259" w:lineRule="auto"/>
              <w:ind w:left="0"/>
              <w:rPr>
                <w:rFonts w:asciiTheme="minorHAnsi" w:eastAsiaTheme="minorEastAsia" w:hAnsiTheme="minorHAnsi" w:cstheme="minorBidi"/>
                <w:b/>
              </w:rPr>
            </w:pPr>
            <w:r w:rsidRPr="1285F0EC">
              <w:rPr>
                <w:rFonts w:asciiTheme="minorHAnsi" w:eastAsiaTheme="minorEastAsia" w:hAnsiTheme="minorHAnsi" w:cstheme="minorBidi"/>
                <w:b/>
                <w:bCs/>
              </w:rPr>
              <w:t xml:space="preserve">Assess </w:t>
            </w:r>
            <w:r w:rsidR="53D0AD55" w:rsidRPr="1285F0EC">
              <w:rPr>
                <w:rFonts w:asciiTheme="minorHAnsi" w:eastAsiaTheme="minorEastAsia" w:hAnsiTheme="minorHAnsi" w:cstheme="minorBidi"/>
                <w:b/>
                <w:bCs/>
              </w:rPr>
              <w:t>Workflow</w:t>
            </w:r>
          </w:p>
        </w:tc>
        <w:tc>
          <w:tcPr>
            <w:tcW w:w="8730" w:type="dxa"/>
          </w:tcPr>
          <w:p w14:paraId="3A68616A" w14:textId="6FEF355F" w:rsidR="00EC0AC2" w:rsidRPr="00CF130A" w:rsidRDefault="00EC0AC2" w:rsidP="00655A7B">
            <w:pPr>
              <w:pStyle w:val="ListParagraph"/>
              <w:spacing w:after="160" w:line="259" w:lineRule="auto"/>
              <w:ind w:left="0"/>
              <w:jc w:val="both"/>
              <w:rPr>
                <w:rFonts w:asciiTheme="minorHAnsi" w:eastAsiaTheme="minorEastAsia" w:hAnsiTheme="minorHAnsi" w:cstheme="minorBidi"/>
                <w:b/>
              </w:rPr>
            </w:pPr>
            <w:r w:rsidRPr="1285F0EC">
              <w:rPr>
                <w:rFonts w:asciiTheme="minorHAnsi" w:hAnsiTheme="minorHAnsi" w:cstheme="minorBidi"/>
                <w:color w:val="333333"/>
              </w:rPr>
              <w:t xml:space="preserve"> Set up a team that will help facilitate the expedited implementation of telemedicine services and be able to make decisions quickly to ensure launch as soon as possible.</w:t>
            </w:r>
            <w:r w:rsidR="00CF130A" w:rsidRPr="1285F0EC">
              <w:rPr>
                <w:rFonts w:asciiTheme="minorHAnsi" w:hAnsiTheme="minorHAnsi" w:cstheme="minorBidi"/>
                <w:color w:val="333333"/>
              </w:rPr>
              <w:t xml:space="preserve">  </w:t>
            </w:r>
            <w:r w:rsidR="4DCD1EF8" w:rsidRPr="1285F0EC">
              <w:rPr>
                <w:rFonts w:asciiTheme="minorHAnsi" w:hAnsiTheme="minorHAnsi" w:cstheme="minorBidi"/>
                <w:color w:val="333333"/>
              </w:rPr>
              <w:t>(</w:t>
            </w:r>
            <w:hyperlink r:id="rId12">
              <w:r w:rsidR="4DCD1EF8" w:rsidRPr="1285F0EC">
                <w:rPr>
                  <w:rStyle w:val="Hyperlink"/>
                  <w:rFonts w:asciiTheme="minorHAnsi" w:hAnsiTheme="minorHAnsi" w:cstheme="minorBidi"/>
                </w:rPr>
                <w:t>Here</w:t>
              </w:r>
            </w:hyperlink>
            <w:r w:rsidR="4DCD1EF8" w:rsidRPr="1285F0EC">
              <w:rPr>
                <w:rFonts w:asciiTheme="minorHAnsi" w:hAnsiTheme="minorHAnsi" w:cstheme="minorBidi"/>
                <w:color w:val="333333"/>
              </w:rPr>
              <w:t xml:space="preserve"> is a sample workflow using telehealth)</w:t>
            </w:r>
          </w:p>
        </w:tc>
      </w:tr>
      <w:tr w:rsidR="00EC0AC2" w14:paraId="1D0DC6A8" w14:textId="77777777" w:rsidTr="5108FBD0">
        <w:tc>
          <w:tcPr>
            <w:tcW w:w="1890" w:type="dxa"/>
          </w:tcPr>
          <w:p w14:paraId="68171C8C" w14:textId="6B46A2E4" w:rsidR="00EC0AC2" w:rsidRPr="00CF130A" w:rsidRDefault="1CC3E773" w:rsidP="1285F0EC">
            <w:pPr>
              <w:pStyle w:val="ListParagraph"/>
              <w:spacing w:after="160" w:line="259" w:lineRule="auto"/>
              <w:ind w:left="0"/>
              <w:rPr>
                <w:rFonts w:asciiTheme="minorHAnsi" w:eastAsiaTheme="minorEastAsia" w:hAnsiTheme="minorHAnsi" w:cstheme="minorBidi"/>
                <w:b/>
              </w:rPr>
            </w:pPr>
            <w:r w:rsidRPr="1285F0EC">
              <w:rPr>
                <w:rFonts w:asciiTheme="minorHAnsi" w:eastAsiaTheme="minorEastAsia" w:hAnsiTheme="minorHAnsi" w:cstheme="minorBidi"/>
                <w:b/>
                <w:bCs/>
              </w:rPr>
              <w:t>Insurance</w:t>
            </w:r>
          </w:p>
        </w:tc>
        <w:tc>
          <w:tcPr>
            <w:tcW w:w="8730" w:type="dxa"/>
          </w:tcPr>
          <w:p w14:paraId="59AF0798" w14:textId="7D2FC446" w:rsidR="00EC0AC2" w:rsidRPr="00CF130A" w:rsidRDefault="00EC0AC2" w:rsidP="00655A7B">
            <w:pPr>
              <w:pStyle w:val="ListParagraph"/>
              <w:spacing w:after="160" w:line="259" w:lineRule="auto"/>
              <w:ind w:left="0"/>
              <w:jc w:val="both"/>
              <w:rPr>
                <w:rFonts w:asciiTheme="minorHAnsi" w:eastAsiaTheme="minorHAnsi" w:hAnsiTheme="minorHAnsi" w:cstheme="minorHAnsi"/>
                <w:b/>
                <w:bCs/>
              </w:rPr>
            </w:pPr>
            <w:r w:rsidRPr="00CF130A">
              <w:rPr>
                <w:rFonts w:asciiTheme="minorHAnsi" w:hAnsiTheme="minorHAnsi" w:cstheme="minorHAnsi"/>
                <w:color w:val="333333"/>
              </w:rPr>
              <w:t xml:space="preserve"> Check with your malpractice insurance carrier to ensure your policy covers providing care via telemedicine.  </w:t>
            </w:r>
            <w:r w:rsidR="00CF130A">
              <w:rPr>
                <w:rFonts w:asciiTheme="minorHAnsi" w:hAnsiTheme="minorHAnsi" w:cstheme="minorHAnsi"/>
                <w:color w:val="333333"/>
              </w:rPr>
              <w:t>(</w:t>
            </w:r>
            <w:hyperlink r:id="rId13" w:history="1">
              <w:r w:rsidRPr="00CF130A">
                <w:rPr>
                  <w:rStyle w:val="Hyperlink"/>
                  <w:rFonts w:asciiTheme="minorHAnsi" w:hAnsiTheme="minorHAnsi" w:cstheme="minorHAnsi"/>
                </w:rPr>
                <w:t>Here</w:t>
              </w:r>
            </w:hyperlink>
            <w:r w:rsidRPr="00CF130A">
              <w:rPr>
                <w:rFonts w:asciiTheme="minorHAnsi" w:hAnsiTheme="minorHAnsi" w:cstheme="minorHAnsi"/>
                <w:color w:val="333333"/>
              </w:rPr>
              <w:t xml:space="preserve"> </w:t>
            </w:r>
            <w:r w:rsidR="00CF130A">
              <w:rPr>
                <w:rFonts w:asciiTheme="minorHAnsi" w:hAnsiTheme="minorHAnsi" w:cstheme="minorHAnsi"/>
                <w:color w:val="333333"/>
              </w:rPr>
              <w:t xml:space="preserve">is a </w:t>
            </w:r>
            <w:r w:rsidR="00663A92">
              <w:rPr>
                <w:rFonts w:asciiTheme="minorHAnsi" w:hAnsiTheme="minorHAnsi" w:cstheme="minorHAnsi"/>
                <w:color w:val="333333"/>
              </w:rPr>
              <w:t xml:space="preserve">sample </w:t>
            </w:r>
            <w:r w:rsidR="00CF130A">
              <w:rPr>
                <w:rFonts w:asciiTheme="minorHAnsi" w:hAnsiTheme="minorHAnsi" w:cstheme="minorHAnsi"/>
                <w:color w:val="333333"/>
              </w:rPr>
              <w:t xml:space="preserve">document for </w:t>
            </w:r>
            <w:r w:rsidR="00954813">
              <w:rPr>
                <w:rFonts w:asciiTheme="minorHAnsi" w:hAnsiTheme="minorHAnsi" w:cstheme="minorHAnsi"/>
                <w:color w:val="333333"/>
              </w:rPr>
              <w:t>reference</w:t>
            </w:r>
            <w:r w:rsidR="00CF130A">
              <w:rPr>
                <w:rFonts w:asciiTheme="minorHAnsi" w:hAnsiTheme="minorHAnsi" w:cstheme="minorHAnsi"/>
                <w:color w:val="333333"/>
              </w:rPr>
              <w:t>)</w:t>
            </w:r>
          </w:p>
        </w:tc>
      </w:tr>
      <w:tr w:rsidR="00EC0AC2" w14:paraId="2D91D437" w14:textId="77777777" w:rsidTr="5108FBD0">
        <w:tc>
          <w:tcPr>
            <w:tcW w:w="1890" w:type="dxa"/>
          </w:tcPr>
          <w:p w14:paraId="348AE62F" w14:textId="234F4A8D" w:rsidR="00EC0AC2" w:rsidRPr="00CF130A" w:rsidRDefault="57E5C85F" w:rsidP="1285F0EC">
            <w:pPr>
              <w:pStyle w:val="ListParagraph"/>
              <w:spacing w:after="160" w:line="259" w:lineRule="auto"/>
              <w:ind w:left="0"/>
              <w:rPr>
                <w:rFonts w:asciiTheme="minorHAnsi" w:eastAsiaTheme="minorEastAsia" w:hAnsiTheme="minorHAnsi" w:cstheme="minorBidi"/>
                <w:b/>
              </w:rPr>
            </w:pPr>
            <w:r w:rsidRPr="1285F0EC">
              <w:rPr>
                <w:rFonts w:asciiTheme="minorHAnsi" w:eastAsiaTheme="minorEastAsia" w:hAnsiTheme="minorHAnsi" w:cstheme="minorBidi"/>
                <w:b/>
                <w:bCs/>
              </w:rPr>
              <w:t>Payment</w:t>
            </w:r>
          </w:p>
        </w:tc>
        <w:tc>
          <w:tcPr>
            <w:tcW w:w="8730" w:type="dxa"/>
          </w:tcPr>
          <w:p w14:paraId="4FAD7A08" w14:textId="4C8F98DA" w:rsidR="00EC0AC2" w:rsidRPr="00CF130A" w:rsidRDefault="00EC0AC2" w:rsidP="5108FBD0">
            <w:pPr>
              <w:pStyle w:val="ListParagraph"/>
              <w:spacing w:after="160" w:line="259" w:lineRule="auto"/>
              <w:ind w:left="0"/>
              <w:jc w:val="both"/>
              <w:rPr>
                <w:rFonts w:asciiTheme="minorHAnsi" w:eastAsiaTheme="minorEastAsia" w:hAnsiTheme="minorHAnsi" w:cstheme="minorBidi"/>
                <w:b/>
                <w:bCs/>
              </w:rPr>
            </w:pPr>
            <w:r w:rsidRPr="5108FBD0">
              <w:rPr>
                <w:rFonts w:asciiTheme="minorHAnsi" w:hAnsiTheme="minorHAnsi" w:cstheme="minorBidi"/>
                <w:color w:val="333333"/>
              </w:rPr>
              <w:t> Familiarize yourself with payment and policy guidelines specific to various telemedicine services.</w:t>
            </w:r>
            <w:r w:rsidR="00CF130A" w:rsidRPr="5108FBD0">
              <w:rPr>
                <w:rFonts w:asciiTheme="minorHAnsi" w:hAnsiTheme="minorHAnsi" w:cstheme="minorBidi"/>
                <w:color w:val="333333"/>
              </w:rPr>
              <w:t xml:space="preserve"> (</w:t>
            </w:r>
            <w:hyperlink r:id="rId14">
              <w:r w:rsidR="00CF130A" w:rsidRPr="5108FBD0">
                <w:rPr>
                  <w:rStyle w:val="Hyperlink"/>
                  <w:rFonts w:asciiTheme="minorHAnsi" w:hAnsiTheme="minorHAnsi" w:cstheme="minorBidi"/>
                </w:rPr>
                <w:t>Here</w:t>
              </w:r>
            </w:hyperlink>
            <w:r w:rsidR="00CF130A" w:rsidRPr="5108FBD0">
              <w:rPr>
                <w:rFonts w:asciiTheme="minorHAnsi" w:hAnsiTheme="minorHAnsi" w:cstheme="minorBidi"/>
                <w:color w:val="333333"/>
              </w:rPr>
              <w:t xml:space="preserve"> is </w:t>
            </w:r>
            <w:r w:rsidR="00360BCA" w:rsidRPr="5108FBD0">
              <w:rPr>
                <w:rFonts w:asciiTheme="minorHAnsi" w:hAnsiTheme="minorHAnsi" w:cstheme="minorBidi"/>
                <w:color w:val="333333"/>
              </w:rPr>
              <w:t xml:space="preserve">the link to NC Medicaid </w:t>
            </w:r>
            <w:r w:rsidR="00E23689" w:rsidRPr="5108FBD0">
              <w:rPr>
                <w:rFonts w:asciiTheme="minorHAnsi" w:hAnsiTheme="minorHAnsi" w:cstheme="minorBidi"/>
                <w:color w:val="333333"/>
              </w:rPr>
              <w:t xml:space="preserve">coverage </w:t>
            </w:r>
            <w:r w:rsidR="00360BCA" w:rsidRPr="5108FBD0">
              <w:rPr>
                <w:rFonts w:asciiTheme="minorHAnsi" w:hAnsiTheme="minorHAnsi" w:cstheme="minorBidi"/>
                <w:color w:val="333333"/>
              </w:rPr>
              <w:t>for COVID-19</w:t>
            </w:r>
            <w:r w:rsidR="000429BF" w:rsidRPr="5108FBD0">
              <w:rPr>
                <w:rFonts w:asciiTheme="minorHAnsi" w:hAnsiTheme="minorHAnsi" w:cstheme="minorBidi"/>
                <w:color w:val="333333"/>
              </w:rPr>
              <w:t xml:space="preserve">.  </w:t>
            </w:r>
            <w:r w:rsidR="7128A8A4" w:rsidRPr="5108FBD0">
              <w:rPr>
                <w:rFonts w:asciiTheme="minorHAnsi" w:hAnsiTheme="minorHAnsi" w:cstheme="minorBidi"/>
                <w:color w:val="333333"/>
              </w:rPr>
              <w:t xml:space="preserve">AMA also has helpful coding resources </w:t>
            </w:r>
            <w:hyperlink r:id="rId15">
              <w:r w:rsidR="7128A8A4" w:rsidRPr="5108FBD0">
                <w:rPr>
                  <w:rFonts w:asciiTheme="minorHAnsi" w:hAnsiTheme="minorHAnsi" w:cstheme="minorBidi"/>
                  <w:color w:val="0000FF"/>
                  <w:u w:val="single"/>
                </w:rPr>
                <w:t>here</w:t>
              </w:r>
            </w:hyperlink>
            <w:r w:rsidR="7128A8A4" w:rsidRPr="5108FBD0">
              <w:rPr>
                <w:rFonts w:asciiTheme="minorHAnsi" w:hAnsiTheme="minorHAnsi" w:cstheme="minorBidi"/>
                <w:color w:val="333333"/>
              </w:rPr>
              <w:t xml:space="preserve">.  </w:t>
            </w:r>
            <w:r w:rsidR="000429BF" w:rsidRPr="5108FBD0">
              <w:rPr>
                <w:rFonts w:asciiTheme="minorHAnsi" w:hAnsiTheme="minorHAnsi" w:cstheme="minorBidi"/>
                <w:color w:val="333333"/>
              </w:rPr>
              <w:t xml:space="preserve">Check with </w:t>
            </w:r>
            <w:r w:rsidR="00094EAA">
              <w:rPr>
                <w:rFonts w:asciiTheme="minorHAnsi" w:hAnsiTheme="minorHAnsi" w:cstheme="minorBidi"/>
                <w:color w:val="333333"/>
              </w:rPr>
              <w:t xml:space="preserve">your </w:t>
            </w:r>
            <w:r w:rsidR="000429BF" w:rsidRPr="5108FBD0">
              <w:rPr>
                <w:rFonts w:asciiTheme="minorHAnsi" w:hAnsiTheme="minorHAnsi" w:cstheme="minorBidi"/>
                <w:color w:val="333333"/>
              </w:rPr>
              <w:t>payers for</w:t>
            </w:r>
            <w:r w:rsidR="11FBBBDB" w:rsidRPr="5108FBD0">
              <w:rPr>
                <w:rFonts w:asciiTheme="minorHAnsi" w:hAnsiTheme="minorHAnsi" w:cstheme="minorBidi"/>
                <w:color w:val="333333"/>
              </w:rPr>
              <w:t xml:space="preserve"> telehealth</w:t>
            </w:r>
            <w:r w:rsidR="000429BF" w:rsidRPr="5108FBD0">
              <w:rPr>
                <w:rFonts w:asciiTheme="minorHAnsi" w:hAnsiTheme="minorHAnsi" w:cstheme="minorBidi"/>
                <w:color w:val="333333"/>
              </w:rPr>
              <w:t xml:space="preserve"> coverage.</w:t>
            </w:r>
            <w:r w:rsidR="00F4531C" w:rsidRPr="5108FBD0">
              <w:rPr>
                <w:rFonts w:asciiTheme="minorHAnsi" w:hAnsiTheme="minorHAnsi" w:cstheme="minorBidi"/>
                <w:color w:val="333333"/>
              </w:rPr>
              <w:t>)</w:t>
            </w:r>
          </w:p>
        </w:tc>
      </w:tr>
    </w:tbl>
    <w:p w14:paraId="49E3439C" w14:textId="007061F6" w:rsidR="00527E22" w:rsidRPr="00954813" w:rsidRDefault="00527E22" w:rsidP="00655A7B">
      <w:pPr>
        <w:pStyle w:val="ListParagraph"/>
        <w:numPr>
          <w:ilvl w:val="0"/>
          <w:numId w:val="6"/>
        </w:numPr>
        <w:spacing w:after="160" w:line="259" w:lineRule="auto"/>
        <w:jc w:val="both"/>
        <w:rPr>
          <w:rFonts w:asciiTheme="minorHAnsi" w:eastAsiaTheme="minorHAnsi" w:hAnsiTheme="minorHAnsi" w:cstheme="minorBidi"/>
          <w:b/>
          <w:bCs/>
          <w:color w:val="0070C0"/>
        </w:rPr>
      </w:pPr>
      <w:r w:rsidRPr="00954813">
        <w:rPr>
          <w:rFonts w:asciiTheme="minorHAnsi" w:eastAsiaTheme="minorHAnsi" w:hAnsiTheme="minorHAnsi" w:cstheme="minorBidi"/>
          <w:b/>
          <w:bCs/>
          <w:color w:val="0070C0"/>
          <w:sz w:val="40"/>
          <w:szCs w:val="40"/>
          <w:u w:val="single"/>
        </w:rPr>
        <w:t>I</w:t>
      </w:r>
      <w:r w:rsidRPr="00954813">
        <w:rPr>
          <w:rFonts w:asciiTheme="minorHAnsi" w:eastAsiaTheme="minorHAnsi" w:hAnsiTheme="minorHAnsi" w:cstheme="minorBidi"/>
          <w:b/>
          <w:bCs/>
          <w:color w:val="0070C0"/>
          <w:u w:val="single"/>
        </w:rPr>
        <w:t>MPLEMENT</w:t>
      </w:r>
      <w:r w:rsidRPr="00954813">
        <w:rPr>
          <w:rFonts w:asciiTheme="minorHAnsi" w:eastAsiaTheme="minorHAnsi" w:hAnsiTheme="minorHAnsi" w:cstheme="minorBidi"/>
          <w:b/>
          <w:bCs/>
          <w:color w:val="0070C0"/>
        </w:rPr>
        <w:t xml:space="preserve"> – How does my organization successfully implement Telehealth?</w:t>
      </w:r>
    </w:p>
    <w:tbl>
      <w:tblPr>
        <w:tblStyle w:val="TableGrid"/>
        <w:tblW w:w="0" w:type="auto"/>
        <w:tblInd w:w="175" w:type="dxa"/>
        <w:tblLook w:val="04A0" w:firstRow="1" w:lastRow="0" w:firstColumn="1" w:lastColumn="0" w:noHBand="0" w:noVBand="1"/>
      </w:tblPr>
      <w:tblGrid>
        <w:gridCol w:w="1890"/>
        <w:gridCol w:w="8725"/>
      </w:tblGrid>
      <w:tr w:rsidR="00C24C6F" w14:paraId="72FB3CB2" w14:textId="77777777" w:rsidTr="00AC3C07">
        <w:trPr>
          <w:trHeight w:val="1259"/>
        </w:trPr>
        <w:tc>
          <w:tcPr>
            <w:tcW w:w="1890" w:type="dxa"/>
            <w:shd w:val="clear" w:color="auto" w:fill="D9E2F3" w:themeFill="accent1" w:themeFillTint="33"/>
          </w:tcPr>
          <w:p w14:paraId="5D94E2B6" w14:textId="22B80A14" w:rsidR="00C24C6F" w:rsidRDefault="00C24C6F" w:rsidP="043189D6">
            <w:pPr>
              <w:spacing w:after="160" w:line="259" w:lineRule="auto"/>
              <w:jc w:val="center"/>
              <w:rPr>
                <w:rFonts w:asciiTheme="minorHAnsi" w:eastAsiaTheme="minorEastAsia" w:hAnsiTheme="minorHAnsi" w:cstheme="minorBidi"/>
                <w:b/>
              </w:rPr>
            </w:pPr>
            <w:r w:rsidRPr="043189D6">
              <w:rPr>
                <w:rFonts w:asciiTheme="minorHAnsi" w:eastAsiaTheme="minorEastAsia" w:hAnsiTheme="minorHAnsi" w:cstheme="minorBidi"/>
                <w:b/>
              </w:rPr>
              <w:t>Vendor evaluation selection and contracting</w:t>
            </w:r>
          </w:p>
        </w:tc>
        <w:tc>
          <w:tcPr>
            <w:tcW w:w="8725" w:type="dxa"/>
            <w:shd w:val="clear" w:color="auto" w:fill="D9E2F3" w:themeFill="accent1" w:themeFillTint="33"/>
          </w:tcPr>
          <w:p w14:paraId="33CA4D10" w14:textId="7FC751F9" w:rsidR="00C24C6F" w:rsidRDefault="00586B64" w:rsidP="043189D6">
            <w:pPr>
              <w:pStyle w:val="ListParagraph"/>
              <w:spacing w:after="160" w:line="259" w:lineRule="auto"/>
              <w:ind w:left="0"/>
              <w:jc w:val="center"/>
              <w:rPr>
                <w:rFonts w:asciiTheme="minorHAnsi" w:eastAsiaTheme="minorEastAsia" w:hAnsiTheme="minorHAnsi" w:cstheme="minorBidi"/>
                <w:b/>
              </w:rPr>
            </w:pPr>
            <w:r w:rsidRPr="043189D6">
              <w:rPr>
                <w:rFonts w:asciiTheme="minorHAnsi" w:eastAsiaTheme="minorEastAsia" w:hAnsiTheme="minorHAnsi" w:cstheme="minorBidi"/>
                <w:b/>
              </w:rPr>
              <w:t>AAFP</w:t>
            </w:r>
            <w:r w:rsidR="00CF107A" w:rsidRPr="043189D6">
              <w:rPr>
                <w:rFonts w:asciiTheme="minorHAnsi" w:eastAsiaTheme="minorEastAsia" w:hAnsiTheme="minorHAnsi" w:cstheme="minorBidi"/>
                <w:b/>
              </w:rPr>
              <w:t xml:space="preserve"> Using </w:t>
            </w:r>
            <w:r w:rsidR="00C43916" w:rsidRPr="043189D6">
              <w:rPr>
                <w:rFonts w:asciiTheme="minorHAnsi" w:eastAsiaTheme="minorEastAsia" w:hAnsiTheme="minorHAnsi" w:cstheme="minorBidi"/>
                <w:b/>
              </w:rPr>
              <w:t>T</w:t>
            </w:r>
            <w:r w:rsidR="00CF107A" w:rsidRPr="043189D6">
              <w:rPr>
                <w:rFonts w:asciiTheme="minorHAnsi" w:eastAsiaTheme="minorEastAsia" w:hAnsiTheme="minorHAnsi" w:cstheme="minorBidi"/>
                <w:b/>
              </w:rPr>
              <w:t>elehealth to Care for Patients During the COVID-19 Pandemic</w:t>
            </w:r>
            <w:r w:rsidR="00CF107A" w:rsidRPr="043189D6">
              <w:rPr>
                <w:rStyle w:val="EndnoteReference"/>
                <w:rFonts w:asciiTheme="minorHAnsi" w:eastAsiaTheme="minorEastAsia" w:hAnsiTheme="minorHAnsi" w:cstheme="minorBidi"/>
                <w:b/>
              </w:rPr>
              <w:endnoteReference w:id="3"/>
            </w:r>
            <w:r w:rsidR="00CF107A" w:rsidRPr="043189D6">
              <w:rPr>
                <w:rFonts w:asciiTheme="minorHAnsi" w:eastAsiaTheme="minorEastAsia" w:hAnsiTheme="minorHAnsi" w:cstheme="minorBidi"/>
                <w:b/>
              </w:rPr>
              <w:t xml:space="preserve"> </w:t>
            </w:r>
            <w:r w:rsidR="00C24C6F" w:rsidRPr="043189D6">
              <w:rPr>
                <w:rFonts w:asciiTheme="minorHAnsi" w:eastAsiaTheme="minorEastAsia" w:hAnsiTheme="minorHAnsi" w:cstheme="minorBidi"/>
                <w:b/>
              </w:rPr>
              <w:t xml:space="preserve">- </w:t>
            </w:r>
            <w:hyperlink r:id="rId16" w:history="1">
              <w:r w:rsidR="00B07268">
                <w:rPr>
                  <w:rStyle w:val="Hyperlink"/>
                </w:rPr>
                <w:t>https://www.aafp.org/patient-care/emergency/2019-coronavirus/COVID-19-daily/telehealth.html</w:t>
              </w:r>
            </w:hyperlink>
          </w:p>
        </w:tc>
      </w:tr>
      <w:tr w:rsidR="00C24C6F" w14:paraId="1115B9D0" w14:textId="77777777" w:rsidTr="00E80F08">
        <w:tc>
          <w:tcPr>
            <w:tcW w:w="1890" w:type="dxa"/>
          </w:tcPr>
          <w:p w14:paraId="2B54695C" w14:textId="1E17AA07" w:rsidR="00C24C6F" w:rsidRDefault="7B5A10D2" w:rsidP="1285F0EC">
            <w:pPr>
              <w:pStyle w:val="ListParagraph"/>
              <w:spacing w:after="160" w:line="259" w:lineRule="auto"/>
              <w:ind w:left="0"/>
              <w:rPr>
                <w:rFonts w:asciiTheme="minorHAnsi" w:eastAsiaTheme="minorEastAsia" w:hAnsiTheme="minorHAnsi" w:cstheme="minorBidi"/>
                <w:b/>
              </w:rPr>
            </w:pPr>
            <w:r w:rsidRPr="1285F0EC">
              <w:rPr>
                <w:rFonts w:asciiTheme="minorHAnsi" w:eastAsiaTheme="minorEastAsia" w:hAnsiTheme="minorHAnsi" w:cstheme="minorBidi"/>
                <w:b/>
                <w:bCs/>
              </w:rPr>
              <w:t>Existing EMR for Telehealth</w:t>
            </w:r>
          </w:p>
        </w:tc>
        <w:tc>
          <w:tcPr>
            <w:tcW w:w="8725" w:type="dxa"/>
          </w:tcPr>
          <w:p w14:paraId="605AA917" w14:textId="6DF6AB7E" w:rsidR="00C24C6F" w:rsidRPr="00C24C6F" w:rsidRDefault="00C24C6F" w:rsidP="00655A7B">
            <w:pPr>
              <w:pStyle w:val="ListParagraph"/>
              <w:spacing w:after="160" w:line="259" w:lineRule="auto"/>
              <w:ind w:left="0"/>
              <w:jc w:val="both"/>
              <w:rPr>
                <w:rFonts w:asciiTheme="minorHAnsi" w:hAnsiTheme="minorHAnsi" w:cstheme="minorHAnsi"/>
                <w:color w:val="333333"/>
              </w:rPr>
            </w:pPr>
            <w:r w:rsidRPr="00C24C6F">
              <w:rPr>
                <w:rFonts w:asciiTheme="minorHAnsi" w:hAnsiTheme="minorHAnsi" w:cstheme="minorHAnsi"/>
                <w:color w:val="333333"/>
              </w:rPr>
              <w:t>Check with your existing EHR vendor to see if there is telehealth functionality that can be turned on.</w:t>
            </w:r>
            <w:r>
              <w:rPr>
                <w:rFonts w:asciiTheme="minorHAnsi" w:hAnsiTheme="minorHAnsi" w:cstheme="minorHAnsi"/>
                <w:color w:val="333333"/>
              </w:rPr>
              <w:t xml:space="preserve">  </w:t>
            </w:r>
          </w:p>
        </w:tc>
      </w:tr>
      <w:tr w:rsidR="00C24C6F" w14:paraId="7D86C8E4" w14:textId="77777777" w:rsidTr="00E80F08">
        <w:tc>
          <w:tcPr>
            <w:tcW w:w="1890" w:type="dxa"/>
          </w:tcPr>
          <w:p w14:paraId="09862DF8" w14:textId="06262203" w:rsidR="00C24C6F" w:rsidRDefault="5CE6468B" w:rsidP="1285F0EC">
            <w:pPr>
              <w:pStyle w:val="ListParagraph"/>
              <w:spacing w:after="160" w:line="259" w:lineRule="auto"/>
              <w:ind w:left="0"/>
              <w:rPr>
                <w:rFonts w:asciiTheme="minorHAnsi" w:eastAsiaTheme="minorEastAsia" w:hAnsiTheme="minorHAnsi" w:cstheme="minorBidi"/>
                <w:b/>
              </w:rPr>
            </w:pPr>
            <w:r w:rsidRPr="1285F0EC">
              <w:rPr>
                <w:rFonts w:asciiTheme="minorHAnsi" w:eastAsiaTheme="minorEastAsia" w:hAnsiTheme="minorHAnsi" w:cstheme="minorBidi"/>
                <w:b/>
                <w:bCs/>
              </w:rPr>
              <w:t>Low cost Vendor options</w:t>
            </w:r>
          </w:p>
        </w:tc>
        <w:tc>
          <w:tcPr>
            <w:tcW w:w="8725" w:type="dxa"/>
          </w:tcPr>
          <w:p w14:paraId="7B9E288E" w14:textId="696AC5F2" w:rsidR="00C24C6F" w:rsidRPr="00C24C6F" w:rsidRDefault="00C24C6F" w:rsidP="00655A7B">
            <w:pPr>
              <w:pStyle w:val="ListParagraph"/>
              <w:spacing w:after="160" w:line="259" w:lineRule="auto"/>
              <w:ind w:left="0"/>
              <w:jc w:val="both"/>
              <w:rPr>
                <w:rFonts w:asciiTheme="minorHAnsi" w:hAnsiTheme="minorHAnsi" w:cstheme="minorHAnsi"/>
                <w:color w:val="333333"/>
              </w:rPr>
            </w:pPr>
            <w:r w:rsidRPr="00C24C6F">
              <w:rPr>
                <w:rFonts w:asciiTheme="minorHAnsi" w:hAnsiTheme="minorHAnsi" w:cstheme="minorHAnsi"/>
                <w:color w:val="333333"/>
              </w:rPr>
              <w:t>Reach out to your state medical association/society for guidance on vendor evaluation, selection and contracting.</w:t>
            </w:r>
            <w:r>
              <w:rPr>
                <w:rFonts w:asciiTheme="minorHAnsi" w:hAnsiTheme="minorHAnsi" w:cstheme="minorHAnsi"/>
                <w:color w:val="333333"/>
              </w:rPr>
              <w:t xml:space="preserve">  (</w:t>
            </w:r>
            <w:hyperlink r:id="rId17" w:history="1">
              <w:r w:rsidRPr="00BB6F22">
                <w:rPr>
                  <w:rStyle w:val="Hyperlink"/>
                  <w:rFonts w:asciiTheme="minorHAnsi" w:hAnsiTheme="minorHAnsi" w:cstheme="minorHAnsi"/>
                </w:rPr>
                <w:t>Here</w:t>
              </w:r>
            </w:hyperlink>
            <w:r>
              <w:rPr>
                <w:rFonts w:asciiTheme="minorHAnsi" w:hAnsiTheme="minorHAnsi" w:cstheme="minorHAnsi"/>
                <w:color w:val="333333"/>
              </w:rPr>
              <w:t xml:space="preserve"> are a few free or low-cost vendor options)</w:t>
            </w:r>
          </w:p>
        </w:tc>
      </w:tr>
      <w:tr w:rsidR="00C24C6F" w14:paraId="167F91A8" w14:textId="77777777" w:rsidTr="00E80F08">
        <w:tc>
          <w:tcPr>
            <w:tcW w:w="1890" w:type="dxa"/>
          </w:tcPr>
          <w:p w14:paraId="36D5D607" w14:textId="27E42B8E" w:rsidR="00C24C6F" w:rsidRDefault="3A61552A" w:rsidP="1285F0EC">
            <w:pPr>
              <w:pStyle w:val="ListParagraph"/>
              <w:spacing w:after="160" w:line="259" w:lineRule="auto"/>
              <w:ind w:left="0"/>
              <w:rPr>
                <w:rFonts w:asciiTheme="minorHAnsi" w:eastAsiaTheme="minorEastAsia" w:hAnsiTheme="minorHAnsi" w:cstheme="minorBidi"/>
                <w:b/>
              </w:rPr>
            </w:pPr>
            <w:r w:rsidRPr="1285F0EC">
              <w:rPr>
                <w:rFonts w:asciiTheme="minorHAnsi" w:eastAsiaTheme="minorEastAsia" w:hAnsiTheme="minorHAnsi" w:cstheme="minorBidi"/>
                <w:b/>
                <w:bCs/>
              </w:rPr>
              <w:t>Vendor questions</w:t>
            </w:r>
          </w:p>
        </w:tc>
        <w:tc>
          <w:tcPr>
            <w:tcW w:w="8725" w:type="dxa"/>
          </w:tcPr>
          <w:p w14:paraId="070D0662" w14:textId="77777777" w:rsidR="00C24C6F" w:rsidRDefault="00C24C6F" w:rsidP="00655A7B">
            <w:pPr>
              <w:pStyle w:val="ListParagraph"/>
              <w:spacing w:after="160" w:line="259" w:lineRule="auto"/>
              <w:ind w:left="0"/>
              <w:jc w:val="both"/>
              <w:rPr>
                <w:rFonts w:asciiTheme="minorHAnsi" w:hAnsiTheme="minorHAnsi" w:cstheme="minorHAnsi"/>
                <w:color w:val="333333"/>
              </w:rPr>
            </w:pPr>
            <w:r>
              <w:rPr>
                <w:rFonts w:asciiTheme="minorHAnsi" w:hAnsiTheme="minorHAnsi" w:cstheme="minorHAnsi"/>
                <w:color w:val="333333"/>
              </w:rPr>
              <w:t>I</w:t>
            </w:r>
            <w:r w:rsidRPr="00C24C6F">
              <w:rPr>
                <w:rFonts w:asciiTheme="minorHAnsi" w:hAnsiTheme="minorHAnsi" w:cstheme="minorHAnsi"/>
                <w:color w:val="333333"/>
              </w:rPr>
              <w:t>ntroducing new technology into practice quickly can be challenging, but a few things to keep in mind as you navigate a speedy implementation:</w:t>
            </w:r>
          </w:p>
          <w:p w14:paraId="29D9CD5E" w14:textId="77777777" w:rsidR="00C24C6F" w:rsidRDefault="00C24C6F" w:rsidP="00655A7B">
            <w:pPr>
              <w:pStyle w:val="ListParagraph"/>
              <w:numPr>
                <w:ilvl w:val="0"/>
                <w:numId w:val="6"/>
              </w:numPr>
              <w:spacing w:after="160" w:line="259" w:lineRule="auto"/>
              <w:jc w:val="both"/>
              <w:rPr>
                <w:rFonts w:asciiTheme="minorHAnsi" w:hAnsiTheme="minorHAnsi" w:cstheme="minorHAnsi"/>
                <w:color w:val="333333"/>
              </w:rPr>
            </w:pPr>
            <w:r w:rsidRPr="00C24C6F">
              <w:rPr>
                <w:rFonts w:asciiTheme="minorHAnsi" w:hAnsiTheme="minorHAnsi" w:cstheme="minorHAnsi"/>
                <w:color w:val="333333"/>
              </w:rPr>
              <w:t>Ensure HIPAA-compliance*</w:t>
            </w:r>
          </w:p>
          <w:p w14:paraId="0E0DCFD2" w14:textId="77777777" w:rsidR="00C24C6F" w:rsidRDefault="00C24C6F" w:rsidP="00655A7B">
            <w:pPr>
              <w:pStyle w:val="ListParagraph"/>
              <w:numPr>
                <w:ilvl w:val="0"/>
                <w:numId w:val="6"/>
              </w:numPr>
              <w:spacing w:after="160" w:line="259" w:lineRule="auto"/>
              <w:jc w:val="both"/>
              <w:rPr>
                <w:rFonts w:asciiTheme="minorHAnsi" w:hAnsiTheme="minorHAnsi" w:cstheme="minorHAnsi"/>
                <w:color w:val="333333"/>
              </w:rPr>
            </w:pPr>
            <w:r w:rsidRPr="00C24C6F">
              <w:rPr>
                <w:rFonts w:asciiTheme="minorHAnsi" w:hAnsiTheme="minorHAnsi" w:cstheme="minorHAnsi"/>
                <w:color w:val="333333"/>
              </w:rPr>
              <w:t>Make sure you understand who has access to and owns any data generated during a patient visit</w:t>
            </w:r>
          </w:p>
          <w:p w14:paraId="4480A67B" w14:textId="2B3792F7" w:rsidR="00C24C6F" w:rsidRPr="00C24C6F" w:rsidRDefault="00C24C6F" w:rsidP="00655A7B">
            <w:pPr>
              <w:pStyle w:val="ListParagraph"/>
              <w:numPr>
                <w:ilvl w:val="0"/>
                <w:numId w:val="6"/>
              </w:numPr>
              <w:spacing w:after="160" w:line="259" w:lineRule="auto"/>
              <w:jc w:val="both"/>
              <w:rPr>
                <w:rFonts w:asciiTheme="minorHAnsi" w:hAnsiTheme="minorHAnsi" w:cstheme="minorHAnsi"/>
                <w:color w:val="333333"/>
              </w:rPr>
            </w:pPr>
            <w:r w:rsidRPr="00C24C6F">
              <w:rPr>
                <w:rFonts w:asciiTheme="minorHAnsi" w:hAnsiTheme="minorHAnsi" w:cstheme="minorHAnsi"/>
                <w:color w:val="333333"/>
              </w:rPr>
              <w:t xml:space="preserve"> Get clear on the pricing structure (i.e. is there a monthly flat rate for using the technology or is it per call or per visit?)</w:t>
            </w:r>
          </w:p>
        </w:tc>
      </w:tr>
      <w:tr w:rsidR="00E80F08" w14:paraId="76557F09" w14:textId="77777777" w:rsidTr="00AC3C07">
        <w:tc>
          <w:tcPr>
            <w:tcW w:w="1890" w:type="dxa"/>
            <w:shd w:val="clear" w:color="auto" w:fill="D9E2F3" w:themeFill="accent1" w:themeFillTint="33"/>
          </w:tcPr>
          <w:p w14:paraId="66794B1C" w14:textId="7E2C66A7" w:rsidR="00E80F08" w:rsidRPr="00E80F08" w:rsidRDefault="00E80F08" w:rsidP="043189D6">
            <w:pPr>
              <w:spacing w:after="160" w:line="259" w:lineRule="auto"/>
              <w:jc w:val="center"/>
              <w:rPr>
                <w:rFonts w:asciiTheme="minorHAnsi" w:eastAsiaTheme="minorEastAsia" w:hAnsiTheme="minorHAnsi" w:cstheme="minorBidi"/>
                <w:b/>
              </w:rPr>
            </w:pPr>
            <w:r w:rsidRPr="043189D6">
              <w:rPr>
                <w:rFonts w:asciiTheme="minorHAnsi" w:eastAsiaTheme="minorEastAsia" w:hAnsiTheme="minorHAnsi" w:cstheme="minorBidi"/>
                <w:b/>
              </w:rPr>
              <w:t xml:space="preserve">Workflow &amp; </w:t>
            </w:r>
            <w:r w:rsidR="00AC3C07" w:rsidRPr="043189D6">
              <w:rPr>
                <w:rFonts w:asciiTheme="minorHAnsi" w:eastAsiaTheme="minorEastAsia" w:hAnsiTheme="minorHAnsi" w:cstheme="minorBidi"/>
                <w:b/>
              </w:rPr>
              <w:t>P</w:t>
            </w:r>
            <w:r w:rsidRPr="043189D6">
              <w:rPr>
                <w:rFonts w:asciiTheme="minorHAnsi" w:eastAsiaTheme="minorEastAsia" w:hAnsiTheme="minorHAnsi" w:cstheme="minorBidi"/>
                <w:b/>
              </w:rPr>
              <w:t>atient care</w:t>
            </w:r>
          </w:p>
          <w:p w14:paraId="37038CC2" w14:textId="77777777" w:rsidR="00E80F08" w:rsidRDefault="00E80F08" w:rsidP="043189D6">
            <w:pPr>
              <w:pStyle w:val="ListParagraph"/>
              <w:spacing w:after="160" w:line="259" w:lineRule="auto"/>
              <w:ind w:left="0"/>
              <w:jc w:val="center"/>
              <w:rPr>
                <w:rFonts w:asciiTheme="minorHAnsi" w:eastAsiaTheme="minorEastAsia" w:hAnsiTheme="minorHAnsi" w:cstheme="minorBidi"/>
                <w:b/>
              </w:rPr>
            </w:pPr>
          </w:p>
        </w:tc>
        <w:tc>
          <w:tcPr>
            <w:tcW w:w="8725" w:type="dxa"/>
            <w:shd w:val="clear" w:color="auto" w:fill="D9E2F3" w:themeFill="accent1" w:themeFillTint="33"/>
          </w:tcPr>
          <w:p w14:paraId="1E3BC732" w14:textId="2DF55D75" w:rsidR="00E80F08" w:rsidRPr="00E80F08" w:rsidRDefault="00E80F08" w:rsidP="043189D6">
            <w:pPr>
              <w:pStyle w:val="ListParagraph"/>
              <w:spacing w:after="160" w:line="259" w:lineRule="auto"/>
              <w:ind w:left="0"/>
              <w:jc w:val="center"/>
              <w:rPr>
                <w:rFonts w:asciiTheme="minorHAnsi" w:hAnsiTheme="minorHAnsi" w:cstheme="minorBidi"/>
                <w:color w:val="333333"/>
              </w:rPr>
            </w:pPr>
            <w:r w:rsidRPr="043189D6">
              <w:rPr>
                <w:rFonts w:asciiTheme="minorHAnsi" w:hAnsiTheme="minorHAnsi" w:cstheme="minorBidi"/>
                <w:color w:val="333333"/>
              </w:rPr>
              <w:t>Determine protocols for if/when a telehealth visit is appropriate up front and train clinicians, care team members and schedulers. Consider a short survey or set of questions that patients can either answer electronically or over the phone when your patients are scheduling to properly triage.</w:t>
            </w:r>
          </w:p>
        </w:tc>
      </w:tr>
      <w:tr w:rsidR="00E80F08" w14:paraId="43F49109" w14:textId="77777777" w:rsidTr="00E80F08">
        <w:tc>
          <w:tcPr>
            <w:tcW w:w="1890" w:type="dxa"/>
          </w:tcPr>
          <w:p w14:paraId="48F76D1D" w14:textId="74C1EEBD" w:rsidR="00E80F08" w:rsidRDefault="7B6ADDDF" w:rsidP="1285F0EC">
            <w:pPr>
              <w:pStyle w:val="ListParagraph"/>
              <w:spacing w:after="160" w:line="259" w:lineRule="auto"/>
              <w:ind w:left="0"/>
              <w:rPr>
                <w:rFonts w:asciiTheme="minorHAnsi" w:eastAsiaTheme="minorEastAsia" w:hAnsiTheme="minorHAnsi" w:cstheme="minorBidi"/>
                <w:b/>
              </w:rPr>
            </w:pPr>
            <w:r w:rsidRPr="1285F0EC">
              <w:rPr>
                <w:rFonts w:asciiTheme="minorHAnsi" w:eastAsiaTheme="minorEastAsia" w:hAnsiTheme="minorHAnsi" w:cstheme="minorBidi"/>
                <w:b/>
                <w:bCs/>
              </w:rPr>
              <w:lastRenderedPageBreak/>
              <w:t>Scheduling</w:t>
            </w:r>
          </w:p>
        </w:tc>
        <w:tc>
          <w:tcPr>
            <w:tcW w:w="8725" w:type="dxa"/>
          </w:tcPr>
          <w:p w14:paraId="5721BA4A" w14:textId="60B6E1F2" w:rsidR="00E80F08" w:rsidRPr="00E80F08" w:rsidRDefault="00E80F08" w:rsidP="00655A7B">
            <w:pPr>
              <w:pStyle w:val="ListParagraph"/>
              <w:spacing w:after="160" w:line="259" w:lineRule="auto"/>
              <w:ind w:left="0"/>
              <w:jc w:val="both"/>
              <w:rPr>
                <w:rFonts w:asciiTheme="minorHAnsi" w:hAnsiTheme="minorHAnsi" w:cstheme="minorHAnsi"/>
                <w:color w:val="333333"/>
              </w:rPr>
            </w:pPr>
            <w:r w:rsidRPr="00E80F08">
              <w:rPr>
                <w:rFonts w:asciiTheme="minorHAnsi" w:hAnsiTheme="minorHAnsi" w:cstheme="minorHAnsi"/>
                <w:color w:val="333333"/>
              </w:rPr>
              <w:t>Determine when telehealth visits will be available on the schedule (i.e. throughout the day intermixed with in-person visits or for a set block of time specifically devoted to virtual visits).</w:t>
            </w:r>
          </w:p>
        </w:tc>
      </w:tr>
      <w:tr w:rsidR="00E80F08" w14:paraId="107F27F2" w14:textId="77777777" w:rsidTr="00E80F08">
        <w:tc>
          <w:tcPr>
            <w:tcW w:w="1890" w:type="dxa"/>
          </w:tcPr>
          <w:p w14:paraId="186CCC2E" w14:textId="6F52EB28" w:rsidR="00E80F08" w:rsidRDefault="5D8480EF" w:rsidP="1285F0EC">
            <w:pPr>
              <w:pStyle w:val="ListParagraph"/>
              <w:spacing w:after="160" w:line="259" w:lineRule="auto"/>
              <w:ind w:left="0"/>
              <w:rPr>
                <w:rFonts w:asciiTheme="minorHAnsi" w:eastAsiaTheme="minorEastAsia" w:hAnsiTheme="minorHAnsi" w:cstheme="minorBidi"/>
                <w:b/>
              </w:rPr>
            </w:pPr>
            <w:r w:rsidRPr="1285F0EC">
              <w:rPr>
                <w:rFonts w:asciiTheme="minorHAnsi" w:eastAsiaTheme="minorEastAsia" w:hAnsiTheme="minorHAnsi" w:cstheme="minorBidi"/>
                <w:b/>
                <w:bCs/>
              </w:rPr>
              <w:t xml:space="preserve">Telehealth </w:t>
            </w:r>
            <w:r w:rsidR="4859F916" w:rsidRPr="1285F0EC">
              <w:rPr>
                <w:rFonts w:asciiTheme="minorHAnsi" w:eastAsiaTheme="minorEastAsia" w:hAnsiTheme="minorHAnsi" w:cstheme="minorBidi"/>
                <w:b/>
                <w:bCs/>
              </w:rPr>
              <w:t>Workspace</w:t>
            </w:r>
          </w:p>
        </w:tc>
        <w:tc>
          <w:tcPr>
            <w:tcW w:w="8725" w:type="dxa"/>
          </w:tcPr>
          <w:p w14:paraId="20E1C63F" w14:textId="6351E74A" w:rsidR="00E80F08" w:rsidRPr="00E80F08" w:rsidRDefault="00E80F08" w:rsidP="00655A7B">
            <w:pPr>
              <w:pStyle w:val="ListParagraph"/>
              <w:spacing w:after="160" w:line="259" w:lineRule="auto"/>
              <w:ind w:left="0"/>
              <w:jc w:val="both"/>
              <w:rPr>
                <w:rFonts w:asciiTheme="minorHAnsi" w:hAnsiTheme="minorHAnsi" w:cstheme="minorHAnsi"/>
                <w:color w:val="333333"/>
              </w:rPr>
            </w:pPr>
            <w:r w:rsidRPr="00E80F08">
              <w:rPr>
                <w:rFonts w:asciiTheme="minorHAnsi" w:hAnsiTheme="minorHAnsi" w:cstheme="minorHAnsi"/>
                <w:color w:val="333333"/>
              </w:rPr>
              <w:t>Set up space in your practice to accommodate telehealth visits. This can be an exam room or other quiet office space to have clear communication with patients. If multiple members of the care team will be helping to facilitate telehealth visits, ensure they know where to support the set-up of the technology and communicate with patients virtually.</w:t>
            </w:r>
          </w:p>
        </w:tc>
      </w:tr>
      <w:tr w:rsidR="00E80F08" w14:paraId="6B6EE83C" w14:textId="77777777" w:rsidTr="00E80F08">
        <w:tc>
          <w:tcPr>
            <w:tcW w:w="1890" w:type="dxa"/>
          </w:tcPr>
          <w:p w14:paraId="0D3DD8AD" w14:textId="3C165EA0" w:rsidR="00E80F08" w:rsidRDefault="79288B9C" w:rsidP="1285F0EC">
            <w:pPr>
              <w:pStyle w:val="ListParagraph"/>
              <w:spacing w:after="160" w:line="259" w:lineRule="auto"/>
              <w:ind w:left="0"/>
              <w:rPr>
                <w:rFonts w:asciiTheme="minorHAnsi" w:eastAsiaTheme="minorEastAsia" w:hAnsiTheme="minorHAnsi" w:cstheme="minorBidi"/>
                <w:b/>
              </w:rPr>
            </w:pPr>
            <w:r w:rsidRPr="1285F0EC">
              <w:rPr>
                <w:rFonts w:asciiTheme="minorHAnsi" w:eastAsiaTheme="minorEastAsia" w:hAnsiTheme="minorHAnsi" w:cstheme="minorBidi"/>
                <w:b/>
                <w:bCs/>
              </w:rPr>
              <w:t>Docu</w:t>
            </w:r>
            <w:r w:rsidR="57466E3A" w:rsidRPr="1285F0EC">
              <w:rPr>
                <w:rFonts w:asciiTheme="minorHAnsi" w:eastAsiaTheme="minorEastAsia" w:hAnsiTheme="minorHAnsi" w:cstheme="minorBidi"/>
                <w:b/>
                <w:bCs/>
              </w:rPr>
              <w:t>mentation</w:t>
            </w:r>
          </w:p>
        </w:tc>
        <w:tc>
          <w:tcPr>
            <w:tcW w:w="8725" w:type="dxa"/>
          </w:tcPr>
          <w:p w14:paraId="4092548C" w14:textId="77777777" w:rsidR="00F53461" w:rsidRDefault="00E80F08" w:rsidP="00655A7B">
            <w:pPr>
              <w:pStyle w:val="ListParagraph"/>
              <w:spacing w:after="160" w:line="259" w:lineRule="auto"/>
              <w:ind w:left="0"/>
              <w:jc w:val="both"/>
              <w:rPr>
                <w:rFonts w:asciiTheme="minorHAnsi" w:hAnsiTheme="minorHAnsi" w:cstheme="minorHAnsi"/>
                <w:color w:val="333333"/>
              </w:rPr>
            </w:pPr>
            <w:r w:rsidRPr="00E80F08">
              <w:rPr>
                <w:rFonts w:asciiTheme="minorHAnsi" w:hAnsiTheme="minorHAnsi" w:cstheme="minorHAnsi"/>
                <w:color w:val="333333"/>
              </w:rPr>
              <w:t>Ensure you are still properly documenting these visits – preferably in your existing EHR as you normally would with an in-person visit. This will keep the patient’s medical record together, allow for consistent procedures for ordering testing, medications, etc. and support billing for telehealth visits.</w:t>
            </w:r>
          </w:p>
          <w:p w14:paraId="18AE2284" w14:textId="331A3F86" w:rsidR="00E80F08" w:rsidRPr="00E80F08" w:rsidRDefault="00E80F08" w:rsidP="00655A7B">
            <w:pPr>
              <w:pStyle w:val="ListParagraph"/>
              <w:numPr>
                <w:ilvl w:val="0"/>
                <w:numId w:val="7"/>
              </w:numPr>
              <w:spacing w:after="160" w:line="259" w:lineRule="auto"/>
              <w:jc w:val="both"/>
              <w:rPr>
                <w:rFonts w:asciiTheme="minorHAnsi" w:hAnsiTheme="minorHAnsi" w:cstheme="minorHAnsi"/>
                <w:color w:val="333333"/>
              </w:rPr>
            </w:pPr>
            <w:r w:rsidRPr="00E80F08">
              <w:rPr>
                <w:rFonts w:asciiTheme="minorHAnsi" w:hAnsiTheme="minorHAnsi" w:cstheme="minorHAnsi"/>
                <w:color w:val="333333"/>
              </w:rPr>
              <w:t xml:space="preserve">Ensure you receive advanced </w:t>
            </w:r>
            <w:hyperlink r:id="rId18" w:history="1">
              <w:r w:rsidRPr="007C655B">
                <w:rPr>
                  <w:rStyle w:val="Hyperlink"/>
                  <w:rFonts w:asciiTheme="minorHAnsi" w:hAnsiTheme="minorHAnsi" w:cstheme="minorHAnsi"/>
                </w:rPr>
                <w:t>consent</w:t>
              </w:r>
            </w:hyperlink>
            <w:r w:rsidRPr="00E80F08">
              <w:rPr>
                <w:rFonts w:asciiTheme="minorHAnsi" w:hAnsiTheme="minorHAnsi" w:cstheme="minorHAnsi"/>
                <w:color w:val="333333"/>
              </w:rPr>
              <w:t xml:space="preserve"> from patients for telemedicine interactions. This should be documented in the patient</w:t>
            </w:r>
            <w:r w:rsidRPr="00E80F08">
              <w:rPr>
                <w:rFonts w:cs="Calibri"/>
                <w:color w:val="333333"/>
              </w:rPr>
              <w:t>’</w:t>
            </w:r>
            <w:r w:rsidRPr="00E80F08">
              <w:rPr>
                <w:rFonts w:asciiTheme="minorHAnsi" w:hAnsiTheme="minorHAnsi" w:cstheme="minorHAnsi"/>
                <w:color w:val="333333"/>
              </w:rPr>
              <w:t>s record. Check to see if your technology vendor can support this electronically.</w:t>
            </w:r>
            <w:r w:rsidR="00441944">
              <w:rPr>
                <w:rFonts w:asciiTheme="minorHAnsi" w:hAnsiTheme="minorHAnsi" w:cstheme="minorHAnsi"/>
                <w:color w:val="333333"/>
              </w:rPr>
              <w:t xml:space="preserve"> Sample consent form in Spanish </w:t>
            </w:r>
            <w:hyperlink r:id="rId19" w:history="1">
              <w:r w:rsidR="00441944" w:rsidRPr="00B36092">
                <w:rPr>
                  <w:rStyle w:val="Hyperlink"/>
                  <w:rFonts w:asciiTheme="minorHAnsi" w:hAnsiTheme="minorHAnsi" w:cstheme="minorHAnsi"/>
                </w:rPr>
                <w:t>here</w:t>
              </w:r>
            </w:hyperlink>
            <w:r w:rsidR="00441944">
              <w:rPr>
                <w:rFonts w:asciiTheme="minorHAnsi" w:hAnsiTheme="minorHAnsi" w:cstheme="minorHAnsi"/>
                <w:color w:val="333333"/>
              </w:rPr>
              <w:t>.</w:t>
            </w:r>
          </w:p>
        </w:tc>
      </w:tr>
      <w:tr w:rsidR="00E80F08" w14:paraId="13A9700A" w14:textId="77777777" w:rsidTr="00E80F08">
        <w:tc>
          <w:tcPr>
            <w:tcW w:w="1890" w:type="dxa"/>
          </w:tcPr>
          <w:p w14:paraId="36083D90" w14:textId="5DA7113D" w:rsidR="00E80F08" w:rsidRDefault="7B287B85" w:rsidP="1285F0EC">
            <w:pPr>
              <w:pStyle w:val="ListParagraph"/>
              <w:spacing w:after="160" w:line="259" w:lineRule="auto"/>
              <w:ind w:left="0"/>
              <w:rPr>
                <w:rFonts w:asciiTheme="minorHAnsi" w:eastAsiaTheme="minorEastAsia" w:hAnsiTheme="minorHAnsi" w:cstheme="minorBidi"/>
                <w:b/>
              </w:rPr>
            </w:pPr>
            <w:r w:rsidRPr="1285F0EC">
              <w:rPr>
                <w:rFonts w:asciiTheme="minorHAnsi" w:eastAsiaTheme="minorEastAsia" w:hAnsiTheme="minorHAnsi" w:cstheme="minorBidi"/>
                <w:b/>
                <w:bCs/>
              </w:rPr>
              <w:t>Outreach to Patients</w:t>
            </w:r>
          </w:p>
        </w:tc>
        <w:tc>
          <w:tcPr>
            <w:tcW w:w="8725" w:type="dxa"/>
          </w:tcPr>
          <w:p w14:paraId="752E7E1F" w14:textId="359E9C9B" w:rsidR="00E80F08" w:rsidRPr="00F53461" w:rsidRDefault="00E80F08" w:rsidP="00655A7B">
            <w:pPr>
              <w:spacing w:after="160" w:line="259" w:lineRule="auto"/>
              <w:jc w:val="both"/>
              <w:rPr>
                <w:rFonts w:asciiTheme="minorHAnsi" w:hAnsiTheme="minorHAnsi" w:cstheme="minorHAnsi"/>
                <w:color w:val="333333"/>
              </w:rPr>
            </w:pPr>
            <w:r w:rsidRPr="00F53461">
              <w:rPr>
                <w:rFonts w:asciiTheme="minorHAnsi" w:hAnsiTheme="minorHAnsi" w:cstheme="minorHAnsi"/>
                <w:color w:val="333333"/>
              </w:rPr>
              <w:t>Let your patients know the practice is now offering telehealth services when they call the office. Have your office staff help support pro-active patient outreach. Additionally, post announcements on your website, patient portals and other patient-facing communications.</w:t>
            </w:r>
            <w:r w:rsidR="00655A7B">
              <w:rPr>
                <w:rFonts w:asciiTheme="minorHAnsi" w:hAnsiTheme="minorHAnsi" w:cstheme="minorHAnsi"/>
                <w:color w:val="333333"/>
              </w:rPr>
              <w:t xml:space="preserve">  (</w:t>
            </w:r>
            <w:hyperlink r:id="rId20" w:history="1">
              <w:r w:rsidR="00655A7B" w:rsidRPr="000867EE">
                <w:rPr>
                  <w:rStyle w:val="Hyperlink"/>
                  <w:rFonts w:asciiTheme="minorHAnsi" w:hAnsiTheme="minorHAnsi" w:cstheme="minorHAnsi"/>
                </w:rPr>
                <w:t>Here</w:t>
              </w:r>
            </w:hyperlink>
            <w:r w:rsidR="00655A7B">
              <w:rPr>
                <w:rFonts w:asciiTheme="minorHAnsi" w:hAnsiTheme="minorHAnsi" w:cstheme="minorHAnsi"/>
                <w:color w:val="333333"/>
              </w:rPr>
              <w:t xml:space="preserve"> is a free telehealth communications toolkit that can be customized for your practice)</w:t>
            </w:r>
          </w:p>
        </w:tc>
      </w:tr>
    </w:tbl>
    <w:p w14:paraId="3753E964" w14:textId="7C7700E5" w:rsidR="00527E22" w:rsidRPr="00954813" w:rsidRDefault="00527E22" w:rsidP="00655A7B">
      <w:pPr>
        <w:pStyle w:val="ListParagraph"/>
        <w:numPr>
          <w:ilvl w:val="0"/>
          <w:numId w:val="6"/>
        </w:numPr>
        <w:spacing w:after="160" w:line="259" w:lineRule="auto"/>
        <w:jc w:val="both"/>
        <w:rPr>
          <w:rFonts w:asciiTheme="minorHAnsi" w:eastAsiaTheme="minorHAnsi" w:hAnsiTheme="minorHAnsi" w:cstheme="minorBidi"/>
          <w:b/>
          <w:bCs/>
          <w:color w:val="0070C0"/>
        </w:rPr>
      </w:pPr>
      <w:r w:rsidRPr="00954813">
        <w:rPr>
          <w:rFonts w:asciiTheme="minorHAnsi" w:eastAsiaTheme="minorHAnsi" w:hAnsiTheme="minorHAnsi" w:cstheme="minorBidi"/>
          <w:b/>
          <w:bCs/>
          <w:color w:val="0070C0"/>
          <w:sz w:val="40"/>
          <w:szCs w:val="40"/>
          <w:u w:val="single"/>
        </w:rPr>
        <w:t>M</w:t>
      </w:r>
      <w:r w:rsidRPr="00954813">
        <w:rPr>
          <w:rFonts w:asciiTheme="minorHAnsi" w:eastAsiaTheme="minorHAnsi" w:hAnsiTheme="minorHAnsi" w:cstheme="minorBidi"/>
          <w:b/>
          <w:bCs/>
          <w:color w:val="0070C0"/>
          <w:u w:val="single"/>
        </w:rPr>
        <w:t>ONITOR</w:t>
      </w:r>
      <w:r w:rsidRPr="00954813">
        <w:rPr>
          <w:rFonts w:asciiTheme="minorHAnsi" w:eastAsiaTheme="minorHAnsi" w:hAnsiTheme="minorHAnsi" w:cstheme="minorBidi"/>
          <w:b/>
          <w:bCs/>
          <w:color w:val="0070C0"/>
        </w:rPr>
        <w:t xml:space="preserve"> AND IMPROVE – </w:t>
      </w:r>
      <w:r w:rsidR="00F53461" w:rsidRPr="00954813">
        <w:rPr>
          <w:rFonts w:asciiTheme="minorHAnsi" w:eastAsiaTheme="minorHAnsi" w:hAnsiTheme="minorHAnsi" w:cstheme="minorBidi"/>
          <w:b/>
          <w:bCs/>
          <w:color w:val="0070C0"/>
        </w:rPr>
        <w:t>Continuously ask “</w:t>
      </w:r>
      <w:r w:rsidRPr="00954813">
        <w:rPr>
          <w:rFonts w:asciiTheme="minorHAnsi" w:eastAsiaTheme="minorHAnsi" w:hAnsiTheme="minorHAnsi" w:cstheme="minorBidi"/>
          <w:b/>
          <w:bCs/>
          <w:color w:val="0070C0"/>
        </w:rPr>
        <w:t>What can my organization do to monitor our telehealth effectiveness and improve?</w:t>
      </w:r>
      <w:r w:rsidR="00F53461" w:rsidRPr="00954813">
        <w:rPr>
          <w:rFonts w:asciiTheme="minorHAnsi" w:eastAsiaTheme="minorHAnsi" w:hAnsiTheme="minorHAnsi" w:cstheme="minorBidi"/>
          <w:b/>
          <w:bCs/>
          <w:color w:val="0070C0"/>
        </w:rPr>
        <w:t xml:space="preserve">”  </w:t>
      </w:r>
    </w:p>
    <w:p w14:paraId="385752EE" w14:textId="164ADBC4" w:rsidR="00F53461" w:rsidRPr="00954813" w:rsidRDefault="00360EED" w:rsidP="00655A7B">
      <w:pPr>
        <w:spacing w:after="160" w:line="259" w:lineRule="auto"/>
        <w:jc w:val="both"/>
        <w:rPr>
          <w:rFonts w:asciiTheme="minorHAnsi" w:eastAsiaTheme="minorHAnsi" w:hAnsiTheme="minorHAnsi" w:cstheme="minorBidi"/>
          <w:b/>
          <w:bCs/>
          <w:i/>
        </w:rPr>
      </w:pPr>
      <w:r w:rsidRPr="00954813">
        <w:rPr>
          <w:rFonts w:asciiTheme="minorHAnsi" w:eastAsiaTheme="minorHAnsi" w:hAnsiTheme="minorHAnsi" w:cstheme="minorBidi"/>
          <w:b/>
          <w:bCs/>
          <w:i/>
        </w:rPr>
        <w:t>ADDITIONAL RESOURCES</w:t>
      </w:r>
      <w:r w:rsidR="0099693A" w:rsidRPr="00954813">
        <w:rPr>
          <w:rFonts w:asciiTheme="minorHAnsi" w:eastAsiaTheme="minorHAnsi" w:hAnsiTheme="minorHAnsi" w:cstheme="minorBidi"/>
          <w:b/>
          <w:bCs/>
          <w:i/>
        </w:rPr>
        <w:t>:</w:t>
      </w:r>
    </w:p>
    <w:p w14:paraId="13623B9B" w14:textId="5B552338" w:rsidR="00581924" w:rsidRPr="00C43916" w:rsidRDefault="002245ED" w:rsidP="00B36092">
      <w:pPr>
        <w:pStyle w:val="ListParagraph"/>
        <w:numPr>
          <w:ilvl w:val="0"/>
          <w:numId w:val="6"/>
        </w:numPr>
        <w:spacing w:after="160" w:line="259" w:lineRule="auto"/>
        <w:jc w:val="both"/>
        <w:rPr>
          <w:rFonts w:asciiTheme="minorHAnsi" w:eastAsiaTheme="minorHAnsi" w:hAnsiTheme="minorHAnsi" w:cstheme="minorBidi"/>
          <w:b/>
          <w:bCs/>
          <w:color w:val="0070C0"/>
        </w:rPr>
      </w:pPr>
      <w:r w:rsidRPr="00581924">
        <w:rPr>
          <w:rFonts w:asciiTheme="minorHAnsi" w:eastAsiaTheme="minorHAnsi" w:hAnsiTheme="minorHAnsi" w:cstheme="minorBidi"/>
          <w:b/>
          <w:bCs/>
        </w:rPr>
        <w:t>Mid-At</w:t>
      </w:r>
      <w:r w:rsidR="001641A3" w:rsidRPr="00581924">
        <w:rPr>
          <w:rFonts w:asciiTheme="minorHAnsi" w:eastAsiaTheme="minorHAnsi" w:hAnsiTheme="minorHAnsi" w:cstheme="minorBidi"/>
          <w:b/>
          <w:bCs/>
        </w:rPr>
        <w:t>lantic Telehealth Resource Center</w:t>
      </w:r>
      <w:r w:rsidR="00581924">
        <w:rPr>
          <w:rFonts w:asciiTheme="minorHAnsi" w:eastAsiaTheme="minorHAnsi" w:hAnsiTheme="minorHAnsi" w:cstheme="minorBidi"/>
          <w:b/>
          <w:bCs/>
        </w:rPr>
        <w:t xml:space="preserve"> (MATRC) </w:t>
      </w:r>
      <w:r w:rsidR="00655A7B" w:rsidRPr="00581924">
        <w:rPr>
          <w:rFonts w:asciiTheme="minorHAnsi" w:eastAsiaTheme="minorHAnsi" w:hAnsiTheme="minorHAnsi" w:cstheme="minorBidi"/>
          <w:b/>
          <w:bCs/>
          <w:color w:val="0070C0"/>
        </w:rPr>
        <w:t>-</w:t>
      </w:r>
      <w:r w:rsidR="00581924">
        <w:rPr>
          <w:rFonts w:asciiTheme="minorHAnsi" w:eastAsiaTheme="minorHAnsi" w:hAnsiTheme="minorHAnsi" w:cstheme="minorBidi"/>
          <w:b/>
          <w:bCs/>
          <w:color w:val="0070C0"/>
        </w:rPr>
        <w:t xml:space="preserve"> </w:t>
      </w:r>
      <w:hyperlink r:id="rId21" w:history="1">
        <w:r w:rsidR="00581924" w:rsidRPr="00C43916">
          <w:rPr>
            <w:rStyle w:val="Hyperlink"/>
            <w:b/>
          </w:rPr>
          <w:t>https://www.matrc.org/matrc-telehealth-resources-for-covid-19/</w:t>
        </w:r>
      </w:hyperlink>
    </w:p>
    <w:p w14:paraId="7C0B5B73" w14:textId="2E9CE363" w:rsidR="00655A7B" w:rsidRPr="00581924" w:rsidRDefault="00655A7B" w:rsidP="00B36092">
      <w:pPr>
        <w:pStyle w:val="ListParagraph"/>
        <w:numPr>
          <w:ilvl w:val="0"/>
          <w:numId w:val="6"/>
        </w:numPr>
        <w:spacing w:after="160" w:line="259" w:lineRule="auto"/>
        <w:jc w:val="both"/>
        <w:rPr>
          <w:rFonts w:asciiTheme="minorHAnsi" w:eastAsiaTheme="minorEastAsia" w:hAnsiTheme="minorHAnsi" w:cstheme="minorBidi"/>
          <w:b/>
          <w:color w:val="0070C0"/>
        </w:rPr>
      </w:pPr>
      <w:r w:rsidRPr="043189D6">
        <w:rPr>
          <w:rFonts w:asciiTheme="minorHAnsi" w:eastAsiaTheme="minorEastAsia" w:hAnsiTheme="minorHAnsi" w:cstheme="minorBidi"/>
          <w:b/>
          <w:bCs/>
        </w:rPr>
        <w:t xml:space="preserve">Broadband </w:t>
      </w:r>
      <w:r w:rsidR="00360EED" w:rsidRPr="043189D6">
        <w:rPr>
          <w:rFonts w:asciiTheme="minorHAnsi" w:eastAsiaTheme="minorEastAsia" w:hAnsiTheme="minorHAnsi" w:cstheme="minorBidi"/>
          <w:b/>
          <w:bCs/>
        </w:rPr>
        <w:t>R</w:t>
      </w:r>
      <w:r w:rsidRPr="043189D6">
        <w:rPr>
          <w:rFonts w:asciiTheme="minorHAnsi" w:eastAsiaTheme="minorEastAsia" w:hAnsiTheme="minorHAnsi" w:cstheme="minorBidi"/>
          <w:b/>
          <w:bCs/>
        </w:rPr>
        <w:t xml:space="preserve">esources </w:t>
      </w:r>
      <w:r w:rsidRPr="043189D6">
        <w:rPr>
          <w:rFonts w:asciiTheme="minorHAnsi" w:eastAsiaTheme="minorEastAsia" w:hAnsiTheme="minorHAnsi" w:cstheme="minorBidi"/>
          <w:b/>
          <w:bCs/>
          <w:color w:val="0070C0"/>
        </w:rPr>
        <w:t xml:space="preserve">- </w:t>
      </w:r>
      <w:hyperlink r:id="rId22">
        <w:r w:rsidRPr="043189D6">
          <w:rPr>
            <w:rStyle w:val="Hyperlink"/>
            <w:rFonts w:asciiTheme="minorHAnsi" w:eastAsiaTheme="minorEastAsia" w:hAnsiTheme="minorHAnsi" w:cstheme="minorBidi"/>
            <w:b/>
            <w:bCs/>
          </w:rPr>
          <w:t>https://www.ncbroadband.gov/covid19broadband/</w:t>
        </w:r>
      </w:hyperlink>
    </w:p>
    <w:p w14:paraId="689A7C46" w14:textId="488FB2BD" w:rsidR="00130137" w:rsidRPr="00655A7B" w:rsidRDefault="00B17EF4" w:rsidP="77316561">
      <w:pPr>
        <w:pStyle w:val="ListParagraph"/>
        <w:numPr>
          <w:ilvl w:val="0"/>
          <w:numId w:val="6"/>
        </w:numPr>
        <w:spacing w:after="160" w:line="259" w:lineRule="auto"/>
        <w:jc w:val="both"/>
        <w:rPr>
          <w:rFonts w:asciiTheme="minorHAnsi" w:eastAsiaTheme="minorEastAsia" w:hAnsiTheme="minorHAnsi" w:cstheme="minorBidi"/>
          <w:b/>
          <w:bCs/>
          <w:color w:val="0070C0"/>
        </w:rPr>
      </w:pPr>
      <w:r w:rsidRPr="77316561">
        <w:rPr>
          <w:rFonts w:asciiTheme="minorHAnsi" w:eastAsiaTheme="minorEastAsia" w:hAnsiTheme="minorHAnsi" w:cstheme="minorBidi"/>
          <w:b/>
          <w:bCs/>
        </w:rPr>
        <w:t xml:space="preserve">NC </w:t>
      </w:r>
      <w:r w:rsidR="00CE1214" w:rsidRPr="77316561">
        <w:rPr>
          <w:rFonts w:asciiTheme="minorHAnsi" w:eastAsiaTheme="minorEastAsia" w:hAnsiTheme="minorHAnsi" w:cstheme="minorBidi"/>
          <w:b/>
          <w:bCs/>
        </w:rPr>
        <w:t>Area Health Education Centers (AHEC)</w:t>
      </w:r>
      <w:r w:rsidR="00661822" w:rsidRPr="77316561">
        <w:rPr>
          <w:rFonts w:asciiTheme="minorHAnsi" w:eastAsiaTheme="minorEastAsia" w:hAnsiTheme="minorHAnsi" w:cstheme="minorBidi"/>
          <w:b/>
          <w:bCs/>
        </w:rPr>
        <w:t xml:space="preserve"> - </w:t>
      </w:r>
      <w:hyperlink r:id="rId23">
        <w:r w:rsidR="008C26CD" w:rsidRPr="77316561">
          <w:rPr>
            <w:rStyle w:val="Hyperlink"/>
            <w:rFonts w:asciiTheme="minorHAnsi" w:eastAsiaTheme="minorEastAsia" w:hAnsiTheme="minorHAnsi" w:cstheme="minorBidi"/>
            <w:b/>
            <w:bCs/>
          </w:rPr>
          <w:t>https://www.ncahec.net/news/resources-and-courses-on-covid-19/</w:t>
        </w:r>
      </w:hyperlink>
      <w:r w:rsidR="00661822" w:rsidRPr="77316561">
        <w:rPr>
          <w:rFonts w:asciiTheme="minorHAnsi" w:eastAsiaTheme="minorEastAsia" w:hAnsiTheme="minorHAnsi" w:cstheme="minorBidi"/>
          <w:b/>
          <w:bCs/>
        </w:rPr>
        <w:t xml:space="preserve"> </w:t>
      </w:r>
    </w:p>
    <w:p w14:paraId="33BA864B" w14:textId="282CF066" w:rsidR="107D8370" w:rsidRPr="00AF4AEA" w:rsidRDefault="107D8370" w:rsidP="00AF4AEA">
      <w:pPr>
        <w:pStyle w:val="ListParagraph"/>
        <w:numPr>
          <w:ilvl w:val="0"/>
          <w:numId w:val="6"/>
        </w:numPr>
        <w:spacing w:after="160" w:line="259" w:lineRule="auto"/>
        <w:rPr>
          <w:rStyle w:val="Hyperlink"/>
          <w:b/>
          <w:bCs/>
          <w:u w:val="none"/>
        </w:rPr>
      </w:pPr>
      <w:r w:rsidRPr="77316561">
        <w:rPr>
          <w:rFonts w:asciiTheme="minorHAnsi" w:eastAsiaTheme="minorEastAsia" w:hAnsiTheme="minorHAnsi" w:cstheme="minorBidi"/>
          <w:b/>
          <w:bCs/>
        </w:rPr>
        <w:t xml:space="preserve">HITEQ Center </w:t>
      </w:r>
      <w:r w:rsidRPr="77316561">
        <w:t xml:space="preserve">- </w:t>
      </w:r>
      <w:hyperlink r:id="rId24">
        <w:r w:rsidRPr="77316561">
          <w:rPr>
            <w:rStyle w:val="Hyperlink"/>
            <w:b/>
            <w:bCs/>
          </w:rPr>
          <w:t>https://hiteqcenter.org/Resources/HITEQ-Resources/telehealth-policy-during-coronavirus-covid-19-pandemic</w:t>
        </w:r>
      </w:hyperlink>
    </w:p>
    <w:p w14:paraId="5F0F3B97" w14:textId="77777777" w:rsidR="00AF4AEA" w:rsidRDefault="00AF4AEA" w:rsidP="00AF4AEA">
      <w:pPr>
        <w:pStyle w:val="ListParagraph"/>
        <w:spacing w:after="160" w:line="259" w:lineRule="auto"/>
        <w:ind w:left="360"/>
        <w:jc w:val="both"/>
        <w:rPr>
          <w:b/>
          <w:bCs/>
          <w:color w:val="0000FF"/>
        </w:rPr>
      </w:pPr>
    </w:p>
    <w:p w14:paraId="23E5F236" w14:textId="01275638" w:rsidR="00F53461" w:rsidRPr="00270157" w:rsidRDefault="00F53461" w:rsidP="00655A7B">
      <w:pPr>
        <w:spacing w:after="160" w:line="259" w:lineRule="auto"/>
        <w:contextualSpacing/>
        <w:jc w:val="center"/>
        <w:rPr>
          <w:rStyle w:val="Hyperlink"/>
          <w:rFonts w:asciiTheme="minorHAnsi" w:eastAsiaTheme="minorEastAsia" w:hAnsiTheme="minorHAnsi" w:cstheme="minorBidi"/>
          <w:b/>
          <w:bCs/>
          <w:sz w:val="28"/>
          <w:szCs w:val="28"/>
        </w:rPr>
      </w:pPr>
      <w:r w:rsidRPr="00270157">
        <w:rPr>
          <w:rFonts w:asciiTheme="minorHAnsi" w:eastAsiaTheme="minorEastAsia" w:hAnsiTheme="minorHAnsi" w:cstheme="minorBidi"/>
          <w:b/>
          <w:color w:val="FF0000"/>
          <w:sz w:val="28"/>
          <w:szCs w:val="28"/>
        </w:rPr>
        <w:t>For additional questions or information please email</w:t>
      </w:r>
      <w:r w:rsidR="00270157">
        <w:rPr>
          <w:rFonts w:asciiTheme="minorHAnsi" w:eastAsiaTheme="minorEastAsia" w:hAnsiTheme="minorHAnsi" w:cstheme="minorBidi"/>
          <w:b/>
          <w:color w:val="FF0000"/>
          <w:sz w:val="28"/>
          <w:szCs w:val="28"/>
        </w:rPr>
        <w:t xml:space="preserve">:  </w:t>
      </w:r>
      <w:r w:rsidRPr="00270157">
        <w:rPr>
          <w:rFonts w:asciiTheme="minorHAnsi" w:eastAsiaTheme="minorEastAsia" w:hAnsiTheme="minorHAnsi" w:cstheme="minorBidi"/>
          <w:b/>
          <w:color w:val="FF0000"/>
          <w:sz w:val="28"/>
          <w:szCs w:val="28"/>
        </w:rPr>
        <w:t xml:space="preserve"> </w:t>
      </w:r>
      <w:hyperlink r:id="rId25" w:history="1">
        <w:r w:rsidR="001364AF" w:rsidRPr="00FC4094">
          <w:rPr>
            <w:rStyle w:val="Hyperlink"/>
            <w:rFonts w:asciiTheme="minorHAnsi" w:eastAsiaTheme="minorEastAsia" w:hAnsiTheme="minorHAnsi" w:cstheme="minorBidi"/>
            <w:b/>
            <w:bCs/>
            <w:sz w:val="28"/>
            <w:szCs w:val="28"/>
          </w:rPr>
          <w:t>ORH_telehealth@dhhs.nc.gov</w:t>
        </w:r>
      </w:hyperlink>
    </w:p>
    <w:p w14:paraId="55C38F01" w14:textId="77777777" w:rsidR="006145D2" w:rsidRDefault="006145D2" w:rsidP="00655A7B">
      <w:pPr>
        <w:spacing w:after="160" w:line="259" w:lineRule="auto"/>
        <w:contextualSpacing/>
        <w:jc w:val="center"/>
        <w:rPr>
          <w:rStyle w:val="Hyperlink"/>
          <w:rFonts w:asciiTheme="minorHAnsi" w:eastAsiaTheme="minorHAnsi" w:hAnsiTheme="minorHAnsi" w:cstheme="minorBidi"/>
          <w:b/>
          <w:bCs/>
          <w:sz w:val="32"/>
          <w:szCs w:val="32"/>
        </w:rPr>
      </w:pPr>
    </w:p>
    <w:p w14:paraId="28749F87" w14:textId="694CEB87" w:rsidR="00527E22" w:rsidRPr="00954813" w:rsidRDefault="00C24C6F" w:rsidP="00655A7B">
      <w:pPr>
        <w:spacing w:after="160" w:line="259" w:lineRule="auto"/>
        <w:contextualSpacing/>
        <w:jc w:val="both"/>
        <w:rPr>
          <w:rFonts w:asciiTheme="minorHAnsi" w:eastAsiaTheme="minorHAnsi" w:hAnsiTheme="minorHAnsi" w:cstheme="minorBidi"/>
          <w:bCs/>
          <w:sz w:val="22"/>
          <w:szCs w:val="22"/>
        </w:rPr>
      </w:pPr>
      <w:r w:rsidRPr="00954813">
        <w:rPr>
          <w:rFonts w:asciiTheme="minorHAnsi" w:eastAsiaTheme="minorHAnsi" w:hAnsiTheme="minorHAnsi" w:cstheme="minorBidi"/>
          <w:bCs/>
          <w:sz w:val="22"/>
          <w:szCs w:val="22"/>
        </w:rPr>
        <w:t>*</w:t>
      </w:r>
      <w:r w:rsidRPr="00954813">
        <w:rPr>
          <w:rFonts w:ascii="Helvetica" w:hAnsi="Helvetica" w:cs="Helvetica"/>
          <w:color w:val="333333"/>
          <w:sz w:val="22"/>
          <w:szCs w:val="22"/>
          <w:shd w:val="clear" w:color="auto" w:fill="FFFFFF"/>
        </w:rPr>
        <w:t xml:space="preserve"> </w:t>
      </w:r>
      <w:r w:rsidRPr="00954813">
        <w:rPr>
          <w:rFonts w:asciiTheme="minorHAnsi" w:eastAsiaTheme="minorHAnsi" w:hAnsiTheme="minorHAnsi" w:cstheme="minorBidi"/>
          <w:bCs/>
          <w:sz w:val="22"/>
          <w:szCs w:val="22"/>
        </w:rPr>
        <w:t>Given the special circumstances of the COVID-19 pandemic, the federal government has </w:t>
      </w:r>
      <w:hyperlink r:id="rId26" w:tgtFrame="_blank" w:history="1">
        <w:r w:rsidRPr="00954813">
          <w:rPr>
            <w:rStyle w:val="Hyperlink"/>
            <w:rFonts w:asciiTheme="minorHAnsi" w:eastAsiaTheme="minorHAnsi" w:hAnsiTheme="minorHAnsi" w:cstheme="minorBidi"/>
            <w:bCs/>
            <w:sz w:val="22"/>
            <w:szCs w:val="22"/>
          </w:rPr>
          <w:t>announced</w:t>
        </w:r>
      </w:hyperlink>
      <w:r w:rsidRPr="00954813">
        <w:rPr>
          <w:rFonts w:asciiTheme="minorHAnsi" w:eastAsiaTheme="minorHAnsi" w:hAnsiTheme="minorHAnsi" w:cstheme="minorBidi"/>
          <w:bCs/>
          <w:sz w:val="22"/>
          <w:szCs w:val="22"/>
        </w:rPr>
        <w:t> that the Office for Civil Rights (OCR) will exercise its enforcement discretion and will not impose penalties on physicians using telehealth in the event of noncompliance with regulatory requirements under the Health Insurance Portability and Accountability Act (HIPAA) in connection with the good faith provision of telehealth during the COVID-19 national public health emergency.</w:t>
      </w:r>
    </w:p>
    <w:sectPr w:rsidR="00527E22" w:rsidRPr="00954813" w:rsidSect="00F53461">
      <w:headerReference w:type="default" r:id="rId27"/>
      <w:footerReference w:type="default" r:id="rId28"/>
      <w:headerReference w:type="first" r:id="rId29"/>
      <w:pgSz w:w="12240" w:h="15840"/>
      <w:pgMar w:top="720" w:right="720" w:bottom="720" w:left="720" w:header="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D91DA" w14:textId="77777777" w:rsidR="008607DA" w:rsidRDefault="008607DA" w:rsidP="00A32A4C">
      <w:r>
        <w:separator/>
      </w:r>
    </w:p>
  </w:endnote>
  <w:endnote w:type="continuationSeparator" w:id="0">
    <w:p w14:paraId="68D6945A" w14:textId="77777777" w:rsidR="008607DA" w:rsidRDefault="008607DA" w:rsidP="00A32A4C">
      <w:r>
        <w:continuationSeparator/>
      </w:r>
    </w:p>
  </w:endnote>
  <w:endnote w:type="continuationNotice" w:id="1">
    <w:p w14:paraId="06D84D0E" w14:textId="77777777" w:rsidR="008607DA" w:rsidRDefault="008607DA"/>
  </w:endnote>
  <w:endnote w:id="2">
    <w:p w14:paraId="5501C05D" w14:textId="3031C760" w:rsidR="00EC0AC2" w:rsidRDefault="00EC0AC2">
      <w:pPr>
        <w:pStyle w:val="EndnoteText"/>
      </w:pPr>
      <w:r>
        <w:rPr>
          <w:rStyle w:val="EndnoteReference"/>
        </w:rPr>
        <w:endnoteRef/>
      </w:r>
      <w:r>
        <w:t xml:space="preserve"> </w:t>
      </w:r>
      <w:hyperlink r:id="rId1" w:history="1">
        <w:r>
          <w:rPr>
            <w:rStyle w:val="Hyperlink"/>
          </w:rPr>
          <w:t>https://www.ama-assn.org/practice-management/digital/ama-quick-guide-telemedicine-practice</w:t>
        </w:r>
      </w:hyperlink>
    </w:p>
  </w:endnote>
  <w:endnote w:id="3">
    <w:p w14:paraId="32F6D9A3" w14:textId="7C12C344" w:rsidR="00CF107A" w:rsidRDefault="00CF107A">
      <w:pPr>
        <w:pStyle w:val="EndnoteText"/>
      </w:pPr>
      <w:r>
        <w:rPr>
          <w:rStyle w:val="EndnoteReference"/>
        </w:rPr>
        <w:endnoteRef/>
      </w:r>
      <w:r>
        <w:t xml:space="preserve"> </w:t>
      </w:r>
      <w:hyperlink r:id="rId2" w:history="1">
        <w:r w:rsidRPr="00CF107A">
          <w:rPr>
            <w:rStyle w:val="Hyperlink"/>
          </w:rPr>
          <w:t>https://www.aafp.org/patient-care/emergency/2019-coronavirus/COVID-19-daily/telehealth.html</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FD26C" w14:textId="77777777" w:rsidR="00C30A39" w:rsidRPr="00842EAA" w:rsidRDefault="00C30A39" w:rsidP="00C30A39">
    <w:pPr>
      <w:pStyle w:val="Footer"/>
      <w:framePr w:wrap="none" w:vAnchor="text" w:hAnchor="margin" w:xAlign="center" w:y="1"/>
      <w:rPr>
        <w:rStyle w:val="PageNumber"/>
        <w:rFonts w:ascii="Arial" w:hAnsi="Arial" w:cs="Arial"/>
        <w:b/>
        <w:bCs/>
        <w:color w:val="000000" w:themeColor="text1"/>
        <w:sz w:val="18"/>
        <w:szCs w:val="18"/>
      </w:rPr>
    </w:pPr>
    <w:r w:rsidRPr="00842EAA">
      <w:rPr>
        <w:rStyle w:val="PageNumber"/>
        <w:rFonts w:ascii="Arial" w:hAnsi="Arial" w:cs="Arial"/>
        <w:b/>
        <w:bCs/>
        <w:color w:val="000000" w:themeColor="text1"/>
        <w:sz w:val="18"/>
        <w:szCs w:val="18"/>
      </w:rPr>
      <w:fldChar w:fldCharType="begin"/>
    </w:r>
    <w:r w:rsidRPr="00842EAA">
      <w:rPr>
        <w:rStyle w:val="PageNumber"/>
        <w:rFonts w:ascii="Arial" w:hAnsi="Arial" w:cs="Arial"/>
        <w:b/>
        <w:bCs/>
        <w:color w:val="000000" w:themeColor="text1"/>
        <w:sz w:val="18"/>
        <w:szCs w:val="18"/>
      </w:rPr>
      <w:instrText xml:space="preserve">PAGE  </w:instrText>
    </w:r>
    <w:r w:rsidRPr="00842EAA">
      <w:rPr>
        <w:rStyle w:val="PageNumber"/>
        <w:rFonts w:ascii="Arial" w:hAnsi="Arial" w:cs="Arial"/>
        <w:b/>
        <w:bCs/>
        <w:color w:val="000000" w:themeColor="text1"/>
        <w:sz w:val="18"/>
        <w:szCs w:val="18"/>
      </w:rPr>
      <w:fldChar w:fldCharType="separate"/>
    </w:r>
    <w:r w:rsidR="002F6947">
      <w:rPr>
        <w:rStyle w:val="PageNumber"/>
        <w:rFonts w:ascii="Arial" w:hAnsi="Arial" w:cs="Arial"/>
        <w:b/>
        <w:bCs/>
        <w:noProof/>
        <w:color w:val="000000" w:themeColor="text1"/>
        <w:sz w:val="18"/>
        <w:szCs w:val="18"/>
      </w:rPr>
      <w:t>2</w:t>
    </w:r>
    <w:r w:rsidRPr="00842EAA">
      <w:rPr>
        <w:rStyle w:val="PageNumber"/>
        <w:rFonts w:ascii="Arial" w:hAnsi="Arial" w:cs="Arial"/>
        <w:b/>
        <w:bCs/>
        <w:color w:val="000000" w:themeColor="text1"/>
        <w:sz w:val="18"/>
        <w:szCs w:val="18"/>
      </w:rPr>
      <w:fldChar w:fldCharType="end"/>
    </w:r>
  </w:p>
  <w:p w14:paraId="5808626F" w14:textId="77777777" w:rsidR="00A32A4C" w:rsidRPr="00842EAA" w:rsidRDefault="00A32A4C" w:rsidP="00C30A3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F2A7C" w14:textId="77777777" w:rsidR="008607DA" w:rsidRDefault="008607DA" w:rsidP="00A32A4C">
      <w:r>
        <w:separator/>
      </w:r>
    </w:p>
  </w:footnote>
  <w:footnote w:type="continuationSeparator" w:id="0">
    <w:p w14:paraId="4DB52197" w14:textId="77777777" w:rsidR="008607DA" w:rsidRDefault="008607DA" w:rsidP="00A32A4C">
      <w:r>
        <w:continuationSeparator/>
      </w:r>
    </w:p>
  </w:footnote>
  <w:footnote w:type="continuationNotice" w:id="1">
    <w:p w14:paraId="15D4C3AF" w14:textId="77777777" w:rsidR="008607DA" w:rsidRDefault="008607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DEC81"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jc w:val="center"/>
      <w:tblLayout w:type="fixed"/>
      <w:tblCellMar>
        <w:left w:w="0" w:type="dxa"/>
        <w:right w:w="0" w:type="dxa"/>
      </w:tblCellMar>
      <w:tblLook w:val="04A0" w:firstRow="1" w:lastRow="0" w:firstColumn="1" w:lastColumn="0" w:noHBand="0" w:noVBand="1"/>
    </w:tblPr>
    <w:tblGrid>
      <w:gridCol w:w="4590"/>
      <w:gridCol w:w="540"/>
      <w:gridCol w:w="5669"/>
    </w:tblGrid>
    <w:tr w:rsidR="00680B31" w:rsidRPr="003D6870" w14:paraId="1002EC8B" w14:textId="77777777" w:rsidTr="00AF3AE1">
      <w:trPr>
        <w:trHeight w:val="100"/>
        <w:jc w:val="center"/>
      </w:trPr>
      <w:tc>
        <w:tcPr>
          <w:tcW w:w="10799" w:type="dxa"/>
          <w:gridSpan w:val="3"/>
          <w:shd w:val="clear" w:color="auto" w:fill="auto"/>
          <w:vAlign w:val="center"/>
        </w:tcPr>
        <w:p w14:paraId="42429961" w14:textId="77777777" w:rsidR="00680B31" w:rsidRPr="003D6870" w:rsidRDefault="00680B31" w:rsidP="00AF3AE1">
          <w:pPr>
            <w:pStyle w:val="Header"/>
            <w:tabs>
              <w:tab w:val="clear" w:pos="4680"/>
              <w:tab w:val="clear" w:pos="9360"/>
              <w:tab w:val="left" w:pos="2620"/>
            </w:tabs>
            <w:rPr>
              <w:rFonts w:ascii="Arial" w:hAnsi="Arial" w:cs="Arial"/>
              <w:sz w:val="18"/>
              <w:szCs w:val="18"/>
            </w:rPr>
          </w:pPr>
        </w:p>
      </w:tc>
    </w:tr>
    <w:tr w:rsidR="00676B54" w:rsidRPr="003D6870" w14:paraId="6D95EA69" w14:textId="77777777" w:rsidTr="007716D8">
      <w:trPr>
        <w:trHeight w:val="1116"/>
        <w:jc w:val="center"/>
      </w:trPr>
      <w:tc>
        <w:tcPr>
          <w:tcW w:w="4590" w:type="dxa"/>
          <w:tcBorders>
            <w:right w:val="single" w:sz="18" w:space="0" w:color="F1CC00"/>
          </w:tcBorders>
          <w:shd w:val="clear" w:color="auto" w:fill="auto"/>
        </w:tcPr>
        <w:p w14:paraId="5B393CDA" w14:textId="77777777" w:rsidR="00676B54" w:rsidRPr="003D6870" w:rsidRDefault="1285F0EC" w:rsidP="00AF3AE1">
          <w:pPr>
            <w:pStyle w:val="Header"/>
            <w:tabs>
              <w:tab w:val="clear" w:pos="4680"/>
              <w:tab w:val="clear" w:pos="9360"/>
              <w:tab w:val="left" w:pos="2620"/>
            </w:tabs>
            <w:rPr>
              <w:rFonts w:ascii="Arial" w:hAnsi="Arial" w:cs="Arial"/>
              <w:color w:val="33414F"/>
              <w:sz w:val="18"/>
              <w:szCs w:val="18"/>
            </w:rPr>
          </w:pPr>
          <w:r>
            <w:rPr>
              <w:noProof/>
            </w:rPr>
            <w:drawing>
              <wp:inline distT="0" distB="0" distL="0" distR="0" wp14:anchorId="1840B47E" wp14:editId="12F1F863">
                <wp:extent cx="2598420" cy="914400"/>
                <wp:effectExtent l="0" t="0" r="0" b="0"/>
                <wp:docPr id="132849719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98420" cy="914400"/>
                        </a:xfrm>
                        <a:prstGeom prst="rect">
                          <a:avLst/>
                        </a:prstGeom>
                      </pic:spPr>
                    </pic:pic>
                  </a:graphicData>
                </a:graphic>
              </wp:inline>
            </w:drawing>
          </w:r>
        </w:p>
      </w:tc>
      <w:tc>
        <w:tcPr>
          <w:tcW w:w="540" w:type="dxa"/>
          <w:tcBorders>
            <w:left w:val="single" w:sz="18" w:space="0" w:color="F1CC00"/>
          </w:tcBorders>
          <w:shd w:val="clear" w:color="auto" w:fill="auto"/>
          <w:vAlign w:val="center"/>
        </w:tcPr>
        <w:p w14:paraId="3DE0656A" w14:textId="77777777" w:rsidR="00676B54" w:rsidRPr="003D6870" w:rsidRDefault="00676B54" w:rsidP="00AF3AE1">
          <w:pPr>
            <w:pStyle w:val="Header"/>
            <w:tabs>
              <w:tab w:val="clear" w:pos="4680"/>
              <w:tab w:val="clear" w:pos="9360"/>
              <w:tab w:val="left" w:pos="2620"/>
            </w:tabs>
            <w:rPr>
              <w:rFonts w:ascii="Arial" w:hAnsi="Arial" w:cs="Arial"/>
            </w:rPr>
          </w:pPr>
        </w:p>
      </w:tc>
      <w:tc>
        <w:tcPr>
          <w:tcW w:w="5669" w:type="dxa"/>
          <w:shd w:val="clear" w:color="auto" w:fill="auto"/>
          <w:vAlign w:val="center"/>
        </w:tcPr>
        <w:p w14:paraId="649F74C3" w14:textId="77777777" w:rsidR="00676B54" w:rsidRPr="003D6870" w:rsidRDefault="00676B54" w:rsidP="00AF3AE1">
          <w:pPr>
            <w:pStyle w:val="Header"/>
            <w:tabs>
              <w:tab w:val="clear" w:pos="4680"/>
              <w:tab w:val="clear" w:pos="9360"/>
              <w:tab w:val="left" w:pos="2620"/>
            </w:tabs>
            <w:spacing w:before="115"/>
            <w:rPr>
              <w:rFonts w:ascii="Arial" w:hAnsi="Arial" w:cs="Arial"/>
              <w:color w:val="33414F"/>
              <w:sz w:val="18"/>
              <w:szCs w:val="18"/>
            </w:rPr>
          </w:pPr>
          <w:r w:rsidRPr="003D6870">
            <w:rPr>
              <w:rFonts w:ascii="Arial" w:hAnsi="Arial" w:cs="Arial"/>
              <w:b/>
              <w:bCs/>
              <w:color w:val="33414F"/>
              <w:sz w:val="18"/>
              <w:szCs w:val="18"/>
            </w:rPr>
            <w:t xml:space="preserve">ROY </w:t>
          </w:r>
          <w:proofErr w:type="gramStart"/>
          <w:r w:rsidRPr="003D6870">
            <w:rPr>
              <w:rFonts w:ascii="Arial" w:hAnsi="Arial" w:cs="Arial"/>
              <w:b/>
              <w:bCs/>
              <w:color w:val="33414F"/>
              <w:sz w:val="18"/>
              <w:szCs w:val="18"/>
            </w:rPr>
            <w:t>COOPER</w:t>
          </w:r>
          <w:r w:rsidRPr="003D6870">
            <w:rPr>
              <w:rFonts w:ascii="Arial" w:hAnsi="Arial" w:cs="Arial"/>
              <w:color w:val="33414F"/>
              <w:sz w:val="18"/>
              <w:szCs w:val="18"/>
            </w:rPr>
            <w:t xml:space="preserve">  •</w:t>
          </w:r>
          <w:proofErr w:type="gramEnd"/>
          <w:r w:rsidRPr="003D6870">
            <w:rPr>
              <w:rFonts w:ascii="Arial" w:hAnsi="Arial" w:cs="Arial"/>
              <w:color w:val="33414F"/>
              <w:sz w:val="18"/>
              <w:szCs w:val="18"/>
            </w:rPr>
            <w:t xml:space="preserve">  Governor</w:t>
          </w:r>
        </w:p>
        <w:p w14:paraId="544F5433" w14:textId="77777777" w:rsidR="00676B54" w:rsidRPr="003D6870" w:rsidRDefault="00676B54" w:rsidP="00AF3AE1">
          <w:pPr>
            <w:pStyle w:val="Header"/>
            <w:tabs>
              <w:tab w:val="clear" w:pos="4680"/>
              <w:tab w:val="clear" w:pos="9360"/>
              <w:tab w:val="left" w:pos="2620"/>
            </w:tabs>
            <w:spacing w:before="115"/>
            <w:rPr>
              <w:rFonts w:ascii="Arial" w:hAnsi="Arial" w:cs="Arial"/>
              <w:color w:val="33414F"/>
              <w:sz w:val="18"/>
              <w:szCs w:val="18"/>
            </w:rPr>
          </w:pPr>
          <w:r w:rsidRPr="003D6870">
            <w:rPr>
              <w:rFonts w:ascii="Arial" w:hAnsi="Arial" w:cs="Arial"/>
              <w:b/>
              <w:bCs/>
              <w:color w:val="33414F"/>
              <w:sz w:val="18"/>
              <w:szCs w:val="18"/>
            </w:rPr>
            <w:t xml:space="preserve">MANDY COHEN, MD, </w:t>
          </w:r>
          <w:proofErr w:type="gramStart"/>
          <w:r w:rsidRPr="003D6870">
            <w:rPr>
              <w:rFonts w:ascii="Arial" w:hAnsi="Arial" w:cs="Arial"/>
              <w:b/>
              <w:bCs/>
              <w:color w:val="33414F"/>
              <w:sz w:val="18"/>
              <w:szCs w:val="18"/>
            </w:rPr>
            <w:t>MPH</w:t>
          </w:r>
          <w:r w:rsidRPr="003D6870">
            <w:rPr>
              <w:rFonts w:ascii="Arial" w:hAnsi="Arial" w:cs="Arial"/>
              <w:color w:val="33414F"/>
              <w:sz w:val="18"/>
              <w:szCs w:val="18"/>
            </w:rPr>
            <w:t xml:space="preserve">  •</w:t>
          </w:r>
          <w:proofErr w:type="gramEnd"/>
          <w:r w:rsidRPr="003D6870">
            <w:rPr>
              <w:rFonts w:ascii="Arial" w:hAnsi="Arial" w:cs="Arial"/>
              <w:color w:val="33414F"/>
              <w:sz w:val="18"/>
              <w:szCs w:val="18"/>
            </w:rPr>
            <w:t xml:space="preserve">  Secretary</w:t>
          </w:r>
        </w:p>
        <w:p w14:paraId="025E0FEF" w14:textId="77777777" w:rsidR="00676B54" w:rsidRPr="003D6870" w:rsidRDefault="00974F26" w:rsidP="00AF3AE1">
          <w:pPr>
            <w:pStyle w:val="Header"/>
            <w:tabs>
              <w:tab w:val="clear" w:pos="4680"/>
              <w:tab w:val="clear" w:pos="9360"/>
              <w:tab w:val="left" w:pos="2620"/>
            </w:tabs>
            <w:spacing w:before="115"/>
            <w:rPr>
              <w:rFonts w:ascii="Arial" w:hAnsi="Arial" w:cs="Arial"/>
              <w:color w:val="33414F"/>
              <w:sz w:val="18"/>
              <w:szCs w:val="18"/>
            </w:rPr>
          </w:pPr>
          <w:r>
            <w:rPr>
              <w:rFonts w:ascii="Arial" w:hAnsi="Arial" w:cs="Arial"/>
              <w:b/>
              <w:bCs/>
              <w:color w:val="33414F"/>
              <w:sz w:val="18"/>
              <w:szCs w:val="18"/>
            </w:rPr>
            <w:t>M</w:t>
          </w:r>
          <w:r w:rsidR="00924A55">
            <w:rPr>
              <w:rFonts w:ascii="Arial" w:hAnsi="Arial" w:cs="Arial"/>
              <w:b/>
              <w:bCs/>
              <w:color w:val="33414F"/>
              <w:sz w:val="18"/>
              <w:szCs w:val="18"/>
            </w:rPr>
            <w:t>ARGARET</w:t>
          </w:r>
          <w:r>
            <w:rPr>
              <w:rFonts w:ascii="Arial" w:hAnsi="Arial" w:cs="Arial"/>
              <w:b/>
              <w:bCs/>
              <w:color w:val="33414F"/>
              <w:sz w:val="18"/>
              <w:szCs w:val="18"/>
            </w:rPr>
            <w:t xml:space="preserve"> L. S</w:t>
          </w:r>
          <w:r w:rsidR="00924A55">
            <w:rPr>
              <w:rFonts w:ascii="Arial" w:hAnsi="Arial" w:cs="Arial"/>
              <w:b/>
              <w:bCs/>
              <w:color w:val="33414F"/>
              <w:sz w:val="18"/>
              <w:szCs w:val="18"/>
            </w:rPr>
            <w:t>AUER</w:t>
          </w:r>
          <w:r>
            <w:rPr>
              <w:rFonts w:ascii="Arial" w:hAnsi="Arial" w:cs="Arial"/>
              <w:b/>
              <w:bCs/>
              <w:color w:val="33414F"/>
              <w:sz w:val="18"/>
              <w:szCs w:val="18"/>
            </w:rPr>
            <w:t>,</w:t>
          </w:r>
          <w:r w:rsidR="00924A55">
            <w:rPr>
              <w:rFonts w:ascii="Arial" w:hAnsi="Arial" w:cs="Arial"/>
              <w:b/>
              <w:bCs/>
              <w:color w:val="33414F"/>
              <w:sz w:val="18"/>
              <w:szCs w:val="18"/>
            </w:rPr>
            <w:t xml:space="preserve"> </w:t>
          </w:r>
          <w:r>
            <w:rPr>
              <w:rFonts w:ascii="Arial" w:hAnsi="Arial" w:cs="Arial"/>
              <w:b/>
              <w:bCs/>
              <w:color w:val="33414F"/>
              <w:sz w:val="18"/>
              <w:szCs w:val="18"/>
            </w:rPr>
            <w:t xml:space="preserve">MS, </w:t>
          </w:r>
          <w:proofErr w:type="gramStart"/>
          <w:r>
            <w:rPr>
              <w:rFonts w:ascii="Arial" w:hAnsi="Arial" w:cs="Arial"/>
              <w:b/>
              <w:bCs/>
              <w:color w:val="33414F"/>
              <w:sz w:val="18"/>
              <w:szCs w:val="18"/>
            </w:rPr>
            <w:t>MHA</w:t>
          </w:r>
          <w:r w:rsidR="00676B54" w:rsidRPr="003D6870">
            <w:rPr>
              <w:rFonts w:ascii="Arial" w:hAnsi="Arial" w:cs="Arial"/>
              <w:b/>
              <w:bCs/>
              <w:color w:val="33414F"/>
              <w:sz w:val="18"/>
              <w:szCs w:val="18"/>
            </w:rPr>
            <w:t xml:space="preserve"> </w:t>
          </w:r>
          <w:r w:rsidR="00676B54" w:rsidRPr="003D6870">
            <w:rPr>
              <w:rFonts w:ascii="Arial" w:hAnsi="Arial" w:cs="Arial"/>
              <w:color w:val="33414F"/>
              <w:sz w:val="18"/>
              <w:szCs w:val="18"/>
            </w:rPr>
            <w:t xml:space="preserve"> •</w:t>
          </w:r>
          <w:proofErr w:type="gramEnd"/>
          <w:r w:rsidR="00676B54" w:rsidRPr="003D6870">
            <w:rPr>
              <w:rFonts w:ascii="Arial" w:hAnsi="Arial" w:cs="Arial"/>
              <w:color w:val="33414F"/>
              <w:sz w:val="18"/>
              <w:szCs w:val="18"/>
            </w:rPr>
            <w:t xml:space="preserve">  </w:t>
          </w:r>
          <w:r>
            <w:rPr>
              <w:rFonts w:ascii="Arial" w:hAnsi="Arial" w:cs="Arial"/>
              <w:color w:val="33414F"/>
              <w:sz w:val="18"/>
              <w:szCs w:val="18"/>
            </w:rPr>
            <w:t>Director</w:t>
          </w:r>
          <w:r w:rsidR="00676B54" w:rsidRPr="003D6870">
            <w:rPr>
              <w:rFonts w:ascii="Arial" w:hAnsi="Arial" w:cs="Arial"/>
              <w:color w:val="33414F"/>
              <w:sz w:val="18"/>
              <w:szCs w:val="18"/>
            </w:rPr>
            <w:t xml:space="preserve">, </w:t>
          </w:r>
          <w:r>
            <w:rPr>
              <w:rFonts w:ascii="Arial" w:hAnsi="Arial" w:cs="Arial"/>
              <w:color w:val="33414F"/>
              <w:sz w:val="18"/>
              <w:szCs w:val="18"/>
            </w:rPr>
            <w:t>Office of Rural Health</w:t>
          </w:r>
        </w:p>
      </w:tc>
    </w:tr>
  </w:tbl>
  <w:p w14:paraId="044B8338" w14:textId="77777777" w:rsidR="00CA1E69" w:rsidRPr="003D6870" w:rsidRDefault="00CA1E69"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9626E"/>
    <w:multiLevelType w:val="hybridMultilevel"/>
    <w:tmpl w:val="A3A456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C3337"/>
    <w:multiLevelType w:val="hybridMultilevel"/>
    <w:tmpl w:val="9072FFD2"/>
    <w:lvl w:ilvl="0" w:tplc="F996710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BE7BFC"/>
    <w:multiLevelType w:val="hybridMultilevel"/>
    <w:tmpl w:val="5B4CF3AE"/>
    <w:lvl w:ilvl="0" w:tplc="1C984E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E86D18"/>
    <w:multiLevelType w:val="hybridMultilevel"/>
    <w:tmpl w:val="22A0D2A6"/>
    <w:lvl w:ilvl="0" w:tplc="B6C8A486">
      <w:start w:val="1"/>
      <w:numFmt w:val="upperRoman"/>
      <w:lvlText w:val="%1."/>
      <w:lvlJc w:val="left"/>
      <w:pPr>
        <w:ind w:left="1080" w:hanging="720"/>
      </w:pPr>
      <w:rPr>
        <w:rFonts w:hint="default"/>
      </w:rPr>
    </w:lvl>
    <w:lvl w:ilvl="1" w:tplc="4A504258">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E66E9FA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2E0572"/>
    <w:multiLevelType w:val="hybridMultilevel"/>
    <w:tmpl w:val="14C2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201044"/>
    <w:multiLevelType w:val="hybridMultilevel"/>
    <w:tmpl w:val="A4640900"/>
    <w:lvl w:ilvl="0" w:tplc="FFFFFFFF">
      <w:start w:val="1"/>
      <w:numFmt w:val="bullet"/>
      <w:lvlText w:val=""/>
      <w:lvlJc w:val="left"/>
      <w:pPr>
        <w:ind w:left="36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E81421"/>
    <w:multiLevelType w:val="hybridMultilevel"/>
    <w:tmpl w:val="1A1289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074D1E"/>
    <w:multiLevelType w:val="hybridMultilevel"/>
    <w:tmpl w:val="8292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7"/>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4C"/>
    <w:rsid w:val="00012A0B"/>
    <w:rsid w:val="000132C8"/>
    <w:rsid w:val="00014380"/>
    <w:rsid w:val="000417EE"/>
    <w:rsid w:val="00042993"/>
    <w:rsid w:val="000429BF"/>
    <w:rsid w:val="00075C8B"/>
    <w:rsid w:val="00083206"/>
    <w:rsid w:val="00083773"/>
    <w:rsid w:val="000867EE"/>
    <w:rsid w:val="00094EAA"/>
    <w:rsid w:val="000B1A10"/>
    <w:rsid w:val="000C0F5D"/>
    <w:rsid w:val="000E2D9B"/>
    <w:rsid w:val="000E31CF"/>
    <w:rsid w:val="000F43CF"/>
    <w:rsid w:val="000F47E8"/>
    <w:rsid w:val="00127772"/>
    <w:rsid w:val="00130137"/>
    <w:rsid w:val="001316D2"/>
    <w:rsid w:val="001364AF"/>
    <w:rsid w:val="0015365F"/>
    <w:rsid w:val="001641A3"/>
    <w:rsid w:val="00166A78"/>
    <w:rsid w:val="00180183"/>
    <w:rsid w:val="0019667C"/>
    <w:rsid w:val="00197165"/>
    <w:rsid w:val="001A3B84"/>
    <w:rsid w:val="001C5BE0"/>
    <w:rsid w:val="001D7C50"/>
    <w:rsid w:val="001F13AD"/>
    <w:rsid w:val="001F6D2F"/>
    <w:rsid w:val="00213CA1"/>
    <w:rsid w:val="002245ED"/>
    <w:rsid w:val="0023013C"/>
    <w:rsid w:val="00242A2F"/>
    <w:rsid w:val="00243CBB"/>
    <w:rsid w:val="00251D4A"/>
    <w:rsid w:val="002639CB"/>
    <w:rsid w:val="00270157"/>
    <w:rsid w:val="0027667D"/>
    <w:rsid w:val="00280A9F"/>
    <w:rsid w:val="00292C38"/>
    <w:rsid w:val="002A0F02"/>
    <w:rsid w:val="002B6B3D"/>
    <w:rsid w:val="002C7DB8"/>
    <w:rsid w:val="002E5B24"/>
    <w:rsid w:val="002E639B"/>
    <w:rsid w:val="002E69D6"/>
    <w:rsid w:val="002F6947"/>
    <w:rsid w:val="002F7512"/>
    <w:rsid w:val="00307DAF"/>
    <w:rsid w:val="003164C0"/>
    <w:rsid w:val="00322295"/>
    <w:rsid w:val="00333A2A"/>
    <w:rsid w:val="00352BAB"/>
    <w:rsid w:val="00360BCA"/>
    <w:rsid w:val="00360EED"/>
    <w:rsid w:val="003D6870"/>
    <w:rsid w:val="003F1D1E"/>
    <w:rsid w:val="00411AA0"/>
    <w:rsid w:val="00412E9F"/>
    <w:rsid w:val="004178FC"/>
    <w:rsid w:val="004318E0"/>
    <w:rsid w:val="00441944"/>
    <w:rsid w:val="00450150"/>
    <w:rsid w:val="004B5FF3"/>
    <w:rsid w:val="004C5B0B"/>
    <w:rsid w:val="004C720D"/>
    <w:rsid w:val="004C723E"/>
    <w:rsid w:val="00527E22"/>
    <w:rsid w:val="0055009E"/>
    <w:rsid w:val="00550716"/>
    <w:rsid w:val="00550C76"/>
    <w:rsid w:val="00555212"/>
    <w:rsid w:val="005558E3"/>
    <w:rsid w:val="00557679"/>
    <w:rsid w:val="00564E76"/>
    <w:rsid w:val="00581924"/>
    <w:rsid w:val="00586B64"/>
    <w:rsid w:val="0059111C"/>
    <w:rsid w:val="00597AFD"/>
    <w:rsid w:val="005C72B7"/>
    <w:rsid w:val="005C7312"/>
    <w:rsid w:val="00603BBC"/>
    <w:rsid w:val="0060445F"/>
    <w:rsid w:val="006145D2"/>
    <w:rsid w:val="00631F9E"/>
    <w:rsid w:val="0064087D"/>
    <w:rsid w:val="0065147C"/>
    <w:rsid w:val="00655A7B"/>
    <w:rsid w:val="00656F3E"/>
    <w:rsid w:val="00661822"/>
    <w:rsid w:val="00663A92"/>
    <w:rsid w:val="006758DD"/>
    <w:rsid w:val="00676B54"/>
    <w:rsid w:val="00680B31"/>
    <w:rsid w:val="00690D63"/>
    <w:rsid w:val="00692998"/>
    <w:rsid w:val="00695BAE"/>
    <w:rsid w:val="006B7E6B"/>
    <w:rsid w:val="006D77B9"/>
    <w:rsid w:val="006E1409"/>
    <w:rsid w:val="006F02BC"/>
    <w:rsid w:val="006F351C"/>
    <w:rsid w:val="0070214F"/>
    <w:rsid w:val="0071733E"/>
    <w:rsid w:val="00743E93"/>
    <w:rsid w:val="0075421C"/>
    <w:rsid w:val="00761A6C"/>
    <w:rsid w:val="00763FCB"/>
    <w:rsid w:val="007716D8"/>
    <w:rsid w:val="00783262"/>
    <w:rsid w:val="00786A97"/>
    <w:rsid w:val="007B433D"/>
    <w:rsid w:val="007C1D64"/>
    <w:rsid w:val="007C655B"/>
    <w:rsid w:val="007D4756"/>
    <w:rsid w:val="007D7676"/>
    <w:rsid w:val="007F4D65"/>
    <w:rsid w:val="00837A34"/>
    <w:rsid w:val="00842EAA"/>
    <w:rsid w:val="008607DA"/>
    <w:rsid w:val="008661B6"/>
    <w:rsid w:val="008A38D9"/>
    <w:rsid w:val="008A6744"/>
    <w:rsid w:val="008C26CD"/>
    <w:rsid w:val="008F4AE1"/>
    <w:rsid w:val="008F6B4F"/>
    <w:rsid w:val="00914B72"/>
    <w:rsid w:val="00916897"/>
    <w:rsid w:val="00920782"/>
    <w:rsid w:val="009232BE"/>
    <w:rsid w:val="00924709"/>
    <w:rsid w:val="00924A55"/>
    <w:rsid w:val="0093315B"/>
    <w:rsid w:val="00947F05"/>
    <w:rsid w:val="009512C6"/>
    <w:rsid w:val="00952D1E"/>
    <w:rsid w:val="00954813"/>
    <w:rsid w:val="00974D9A"/>
    <w:rsid w:val="00974F26"/>
    <w:rsid w:val="0099693A"/>
    <w:rsid w:val="009A04F0"/>
    <w:rsid w:val="009B181C"/>
    <w:rsid w:val="009B1FCC"/>
    <w:rsid w:val="009D6D9B"/>
    <w:rsid w:val="009F1D5E"/>
    <w:rsid w:val="009F461E"/>
    <w:rsid w:val="00A03B43"/>
    <w:rsid w:val="00A32A4C"/>
    <w:rsid w:val="00A34615"/>
    <w:rsid w:val="00A43250"/>
    <w:rsid w:val="00A55104"/>
    <w:rsid w:val="00A72694"/>
    <w:rsid w:val="00A779D9"/>
    <w:rsid w:val="00A91891"/>
    <w:rsid w:val="00AA36C2"/>
    <w:rsid w:val="00AC3C07"/>
    <w:rsid w:val="00AC63CE"/>
    <w:rsid w:val="00AC6A68"/>
    <w:rsid w:val="00AD0D1B"/>
    <w:rsid w:val="00AF1D55"/>
    <w:rsid w:val="00AF3AE1"/>
    <w:rsid w:val="00AF4AEA"/>
    <w:rsid w:val="00AF5EE7"/>
    <w:rsid w:val="00B07268"/>
    <w:rsid w:val="00B12C50"/>
    <w:rsid w:val="00B16710"/>
    <w:rsid w:val="00B17EF4"/>
    <w:rsid w:val="00B36092"/>
    <w:rsid w:val="00B43880"/>
    <w:rsid w:val="00B536A3"/>
    <w:rsid w:val="00B54912"/>
    <w:rsid w:val="00B86E9D"/>
    <w:rsid w:val="00B87B7A"/>
    <w:rsid w:val="00B90FA1"/>
    <w:rsid w:val="00B96264"/>
    <w:rsid w:val="00BA14C1"/>
    <w:rsid w:val="00BA2EF1"/>
    <w:rsid w:val="00BB6F22"/>
    <w:rsid w:val="00BC0B01"/>
    <w:rsid w:val="00BD144C"/>
    <w:rsid w:val="00BE7729"/>
    <w:rsid w:val="00C24C6F"/>
    <w:rsid w:val="00C30A39"/>
    <w:rsid w:val="00C43120"/>
    <w:rsid w:val="00C43916"/>
    <w:rsid w:val="00C50D3E"/>
    <w:rsid w:val="00C65B1A"/>
    <w:rsid w:val="00CA1E69"/>
    <w:rsid w:val="00CB0DA5"/>
    <w:rsid w:val="00CC3075"/>
    <w:rsid w:val="00CE1214"/>
    <w:rsid w:val="00CE1C63"/>
    <w:rsid w:val="00CE449A"/>
    <w:rsid w:val="00CE6456"/>
    <w:rsid w:val="00CF107A"/>
    <w:rsid w:val="00CF130A"/>
    <w:rsid w:val="00CF20CF"/>
    <w:rsid w:val="00CF6773"/>
    <w:rsid w:val="00D10915"/>
    <w:rsid w:val="00D4786B"/>
    <w:rsid w:val="00D636E5"/>
    <w:rsid w:val="00D70481"/>
    <w:rsid w:val="00D72C15"/>
    <w:rsid w:val="00D8254B"/>
    <w:rsid w:val="00D97E98"/>
    <w:rsid w:val="00DB2F6C"/>
    <w:rsid w:val="00DB71DC"/>
    <w:rsid w:val="00DC1A9F"/>
    <w:rsid w:val="00DC3B0A"/>
    <w:rsid w:val="00DD4958"/>
    <w:rsid w:val="00E14957"/>
    <w:rsid w:val="00E23689"/>
    <w:rsid w:val="00E37942"/>
    <w:rsid w:val="00E47FC7"/>
    <w:rsid w:val="00E52278"/>
    <w:rsid w:val="00E5635F"/>
    <w:rsid w:val="00E630C8"/>
    <w:rsid w:val="00E651DE"/>
    <w:rsid w:val="00E70B01"/>
    <w:rsid w:val="00E80F08"/>
    <w:rsid w:val="00E93E4F"/>
    <w:rsid w:val="00EA5021"/>
    <w:rsid w:val="00EB0019"/>
    <w:rsid w:val="00EB46A9"/>
    <w:rsid w:val="00EB604D"/>
    <w:rsid w:val="00EB7460"/>
    <w:rsid w:val="00EC0AC2"/>
    <w:rsid w:val="00EC151A"/>
    <w:rsid w:val="00EC69B3"/>
    <w:rsid w:val="00EE3EDB"/>
    <w:rsid w:val="00F05712"/>
    <w:rsid w:val="00F10515"/>
    <w:rsid w:val="00F1114E"/>
    <w:rsid w:val="00F121F6"/>
    <w:rsid w:val="00F162A9"/>
    <w:rsid w:val="00F4531C"/>
    <w:rsid w:val="00F53461"/>
    <w:rsid w:val="00FB666B"/>
    <w:rsid w:val="00FC3CBE"/>
    <w:rsid w:val="00FD1235"/>
    <w:rsid w:val="00FD3F16"/>
    <w:rsid w:val="00FF74C2"/>
    <w:rsid w:val="039B239D"/>
    <w:rsid w:val="043189D6"/>
    <w:rsid w:val="0CEC3760"/>
    <w:rsid w:val="107D8370"/>
    <w:rsid w:val="11FBBBDB"/>
    <w:rsid w:val="1285F0EC"/>
    <w:rsid w:val="12F1F863"/>
    <w:rsid w:val="14022653"/>
    <w:rsid w:val="149B4D4D"/>
    <w:rsid w:val="16CB210A"/>
    <w:rsid w:val="1860DF9A"/>
    <w:rsid w:val="1CC3E773"/>
    <w:rsid w:val="290EAE79"/>
    <w:rsid w:val="2B9D67B4"/>
    <w:rsid w:val="34ADC65C"/>
    <w:rsid w:val="3A61552A"/>
    <w:rsid w:val="42E9AE9B"/>
    <w:rsid w:val="433CABEA"/>
    <w:rsid w:val="464AF022"/>
    <w:rsid w:val="4859F916"/>
    <w:rsid w:val="485CC79F"/>
    <w:rsid w:val="4A6F17AD"/>
    <w:rsid w:val="4DCD1EF8"/>
    <w:rsid w:val="4F2F4227"/>
    <w:rsid w:val="5108FBD0"/>
    <w:rsid w:val="53D0AD55"/>
    <w:rsid w:val="555ADB20"/>
    <w:rsid w:val="55B65885"/>
    <w:rsid w:val="562EE48C"/>
    <w:rsid w:val="57115582"/>
    <w:rsid w:val="57466E3A"/>
    <w:rsid w:val="57E5C85F"/>
    <w:rsid w:val="584A6272"/>
    <w:rsid w:val="5A1E7765"/>
    <w:rsid w:val="5B08B93B"/>
    <w:rsid w:val="5CE6468B"/>
    <w:rsid w:val="5D8480EF"/>
    <w:rsid w:val="5DDA80F7"/>
    <w:rsid w:val="6075F24D"/>
    <w:rsid w:val="6372E68B"/>
    <w:rsid w:val="7128A8A4"/>
    <w:rsid w:val="77316561"/>
    <w:rsid w:val="77B169A1"/>
    <w:rsid w:val="79288B9C"/>
    <w:rsid w:val="79AA2344"/>
    <w:rsid w:val="7B287B85"/>
    <w:rsid w:val="7B5A10D2"/>
    <w:rsid w:val="7B6ADDDF"/>
    <w:rsid w:val="7BAE6E13"/>
    <w:rsid w:val="7DE1D4A7"/>
    <w:rsid w:val="7E833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E8C8386"/>
  <w14:defaultImageDpi w14:val="32767"/>
  <w15:docId w15:val="{9CC387C5-46B6-4A54-94AC-222C1C01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paragraph" w:styleId="Heading2">
    <w:name w:val="heading 2"/>
    <w:basedOn w:val="Normal"/>
    <w:next w:val="Normal"/>
    <w:link w:val="Heading2Char"/>
    <w:uiPriority w:val="9"/>
    <w:semiHidden/>
    <w:unhideWhenUsed/>
    <w:qFormat/>
    <w:rsid w:val="00C24C6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character" w:styleId="UnresolvedMention">
    <w:name w:val="Unresolved Mention"/>
    <w:basedOn w:val="DefaultParagraphFont"/>
    <w:uiPriority w:val="99"/>
    <w:semiHidden/>
    <w:unhideWhenUsed/>
    <w:rsid w:val="00B16710"/>
    <w:rPr>
      <w:color w:val="605E5C"/>
      <w:shd w:val="clear" w:color="auto" w:fill="E1DFDD"/>
    </w:rPr>
  </w:style>
  <w:style w:type="paragraph" w:styleId="ListParagraph">
    <w:name w:val="List Paragraph"/>
    <w:basedOn w:val="Normal"/>
    <w:uiPriority w:val="34"/>
    <w:qFormat/>
    <w:rsid w:val="00D4786B"/>
    <w:pPr>
      <w:ind w:left="720"/>
      <w:contextualSpacing/>
    </w:pPr>
  </w:style>
  <w:style w:type="paragraph" w:styleId="EndnoteText">
    <w:name w:val="endnote text"/>
    <w:basedOn w:val="Normal"/>
    <w:link w:val="EndnoteTextChar"/>
    <w:uiPriority w:val="99"/>
    <w:semiHidden/>
    <w:unhideWhenUsed/>
    <w:rsid w:val="00EC0AC2"/>
    <w:rPr>
      <w:sz w:val="20"/>
      <w:szCs w:val="20"/>
    </w:rPr>
  </w:style>
  <w:style w:type="character" w:customStyle="1" w:styleId="EndnoteTextChar">
    <w:name w:val="Endnote Text Char"/>
    <w:basedOn w:val="DefaultParagraphFont"/>
    <w:link w:val="EndnoteText"/>
    <w:uiPriority w:val="99"/>
    <w:semiHidden/>
    <w:rsid w:val="00EC0AC2"/>
  </w:style>
  <w:style w:type="character" w:styleId="EndnoteReference">
    <w:name w:val="endnote reference"/>
    <w:basedOn w:val="DefaultParagraphFont"/>
    <w:uiPriority w:val="99"/>
    <w:semiHidden/>
    <w:unhideWhenUsed/>
    <w:rsid w:val="00EC0AC2"/>
    <w:rPr>
      <w:vertAlign w:val="superscript"/>
    </w:rPr>
  </w:style>
  <w:style w:type="character" w:customStyle="1" w:styleId="Heading2Char">
    <w:name w:val="Heading 2 Char"/>
    <w:basedOn w:val="DefaultParagraphFont"/>
    <w:link w:val="Heading2"/>
    <w:uiPriority w:val="9"/>
    <w:semiHidden/>
    <w:rsid w:val="00C24C6F"/>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8F4A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461487">
      <w:bodyDiv w:val="1"/>
      <w:marLeft w:val="0"/>
      <w:marRight w:val="0"/>
      <w:marTop w:val="0"/>
      <w:marBottom w:val="0"/>
      <w:divBdr>
        <w:top w:val="none" w:sz="0" w:space="0" w:color="auto"/>
        <w:left w:val="none" w:sz="0" w:space="0" w:color="auto"/>
        <w:bottom w:val="none" w:sz="0" w:space="0" w:color="auto"/>
        <w:right w:val="none" w:sz="0" w:space="0" w:color="auto"/>
      </w:divBdr>
    </w:div>
    <w:div w:id="1489858101">
      <w:bodyDiv w:val="1"/>
      <w:marLeft w:val="0"/>
      <w:marRight w:val="0"/>
      <w:marTop w:val="0"/>
      <w:marBottom w:val="0"/>
      <w:divBdr>
        <w:top w:val="none" w:sz="0" w:space="0" w:color="auto"/>
        <w:left w:val="none" w:sz="0" w:space="0" w:color="auto"/>
        <w:bottom w:val="none" w:sz="0" w:space="0" w:color="auto"/>
        <w:right w:val="none" w:sz="0" w:space="0" w:color="auto"/>
      </w:divBdr>
    </w:div>
    <w:div w:id="1815566046">
      <w:bodyDiv w:val="1"/>
      <w:marLeft w:val="0"/>
      <w:marRight w:val="0"/>
      <w:marTop w:val="0"/>
      <w:marBottom w:val="0"/>
      <w:divBdr>
        <w:top w:val="none" w:sz="0" w:space="0" w:color="auto"/>
        <w:left w:val="none" w:sz="0" w:space="0" w:color="auto"/>
        <w:bottom w:val="none" w:sz="0" w:space="0" w:color="auto"/>
        <w:right w:val="none" w:sz="0" w:space="0" w:color="auto"/>
      </w:divBdr>
    </w:div>
    <w:div w:id="2033218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uri.com/wp-content/uploads/2020/03/Curi-Recommendations-on-Telehealth-3-19-2020.docx.pdf" TargetMode="External"/><Relationship Id="rId18" Type="http://schemas.openxmlformats.org/officeDocument/2006/relationships/hyperlink" Target="https://www.aap.org/en-us/professional-resources/practice-transformation/telehealth/Pages/Sample-Documents.aspx" TargetMode="External"/><Relationship Id="rId26" Type="http://schemas.openxmlformats.org/officeDocument/2006/relationships/hyperlink" Target="https://www.hhs.gov/hipaa/for-professionals/special-topics/emergency-preparedness/notification-enforcement-discretion-telehealth/index.html" TargetMode="External"/><Relationship Id="rId3" Type="http://schemas.openxmlformats.org/officeDocument/2006/relationships/customXml" Target="../customXml/item3.xml"/><Relationship Id="rId21" Type="http://schemas.openxmlformats.org/officeDocument/2006/relationships/hyperlink" Target="https://www.matrc.org/matrc-telehealth-resources-for-covid-19/" TargetMode="External"/><Relationship Id="rId7" Type="http://schemas.openxmlformats.org/officeDocument/2006/relationships/settings" Target="settings.xml"/><Relationship Id="rId12" Type="http://schemas.openxmlformats.org/officeDocument/2006/relationships/hyperlink" Target="https://www.aafp.org/journals/fpm/blogs/inpractice/entry/telehealth_algorithm.html?cmpid=em_FPM_20200325" TargetMode="External"/><Relationship Id="rId17" Type="http://schemas.openxmlformats.org/officeDocument/2006/relationships/hyperlink" Target="https://www.matrc.org/matrc-telehealth-resources-for-covid-19/" TargetMode="External"/><Relationship Id="rId25" Type="http://schemas.openxmlformats.org/officeDocument/2006/relationships/hyperlink" Target="mailto:ORH_telehealth@dhhs.nc.gov" TargetMode="External"/><Relationship Id="rId2" Type="http://schemas.openxmlformats.org/officeDocument/2006/relationships/customXml" Target="../customXml/item2.xml"/><Relationship Id="rId16" Type="http://schemas.openxmlformats.org/officeDocument/2006/relationships/hyperlink" Target="https://www.aafp.org/patient-care/emergency/2019-coronavirus/COVID-19-daily/telehealth.html" TargetMode="External"/><Relationship Id="rId20" Type="http://schemas.openxmlformats.org/officeDocument/2006/relationships/hyperlink" Target="https://resources.legatohealthcaremarketing.com/covid-19-toolki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a-assn.org/practice-management/digital/ama-quick-guide-telemedicine-practice" TargetMode="External"/><Relationship Id="rId24" Type="http://schemas.openxmlformats.org/officeDocument/2006/relationships/hyperlink" Target="https://hiteqcenter.org/Resources/HITEQ-Resources/telehealth-policy-during-coronavirus-covid-19-pandemic" TargetMode="External"/><Relationship Id="rId5" Type="http://schemas.openxmlformats.org/officeDocument/2006/relationships/numbering" Target="numbering.xml"/><Relationship Id="rId15" Type="http://schemas.openxmlformats.org/officeDocument/2006/relationships/hyperlink" Target="https://www.ama-assn.org/delivering-care/public-health/cms-payment-policies-regulatory-flexibilities-during-covid-19" TargetMode="External"/><Relationship Id="rId23" Type="http://schemas.openxmlformats.org/officeDocument/2006/relationships/hyperlink" Target="https://www.ncahec.net/news/resources-and-courses-on-covid-19/"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C://Users/lmoore14/Desktop/Sample-Authorization-and-Consent-Spanish.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id.ncdhhs.gov/about-us/coronavirus-disease-2019-covid-19-and-nc-medicaid" TargetMode="External"/><Relationship Id="rId22" Type="http://schemas.openxmlformats.org/officeDocument/2006/relationships/hyperlink" Target="https://www.ncbroadband.gov/covid19broadband/" TargetMode="External"/><Relationship Id="rId27" Type="http://schemas.openxmlformats.org/officeDocument/2006/relationships/header" Target="header1.xm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aafp.org/patient-care/emergency/2019-coronavirus/COVID-19-daily/telehealth.html" TargetMode="External"/><Relationship Id="rId1" Type="http://schemas.openxmlformats.org/officeDocument/2006/relationships/hyperlink" Target="https://www.ama-assn.org/practice-management/digital/ama-quick-guide-telemedicine-practi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3E2CC30A365F42964A3D5A0C1FCA25" ma:contentTypeVersion="3" ma:contentTypeDescription="Create a new document." ma:contentTypeScope="" ma:versionID="4bfd3ef942901d7484b02e8709bba86f">
  <xsd:schema xmlns:xsd="http://www.w3.org/2001/XMLSchema" xmlns:xs="http://www.w3.org/2001/XMLSchema" xmlns:p="http://schemas.microsoft.com/office/2006/metadata/properties" xmlns:ns2="13311eee-a11b-4471-aa6c-35d89d6ae2a7" targetNamespace="http://schemas.microsoft.com/office/2006/metadata/properties" ma:root="true" ma:fieldsID="f7724237973f01c296da8b552cd40157" ns2:_="">
    <xsd:import namespace="13311eee-a11b-4471-aa6c-35d89d6ae2a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11eee-a11b-4471-aa6c-35d89d6ae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002C51E-D48B-431F-94F7-0A7E06B0B9E6}">
  <ds:schemaRefs>
    <ds:schemaRef ds:uri="http://schemas.microsoft.com/sharepoint/v3/contenttype/forms"/>
  </ds:schemaRefs>
</ds:datastoreItem>
</file>

<file path=customXml/itemProps2.xml><?xml version="1.0" encoding="utf-8"?>
<ds:datastoreItem xmlns:ds="http://schemas.openxmlformats.org/officeDocument/2006/customXml" ds:itemID="{DB6A5371-F3E1-4B3C-BADF-CC969782F834}">
  <ds:schemaRefs>
    <ds:schemaRef ds:uri="http://schemas.openxmlformats.org/package/2006/metadata/core-properties"/>
    <ds:schemaRef ds:uri="http://www.w3.org/XML/1998/namespace"/>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13311eee-a11b-4471-aa6c-35d89d6ae2a7"/>
    <ds:schemaRef ds:uri="http://purl.org/dc/terms/"/>
  </ds:schemaRefs>
</ds:datastoreItem>
</file>

<file path=customXml/itemProps3.xml><?xml version="1.0" encoding="utf-8"?>
<ds:datastoreItem xmlns:ds="http://schemas.openxmlformats.org/officeDocument/2006/customXml" ds:itemID="{578EDF60-DF30-4219-8031-FEC81EFAE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11eee-a11b-4471-aa6c-35d89d6ae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1C84B-DED9-4176-8070-099B56991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Moore, Lakeisha</cp:lastModifiedBy>
  <cp:revision>2</cp:revision>
  <cp:lastPrinted>2019-07-19T18:44:00Z</cp:lastPrinted>
  <dcterms:created xsi:type="dcterms:W3CDTF">2020-03-27T20:02:00Z</dcterms:created>
  <dcterms:modified xsi:type="dcterms:W3CDTF">2020-03-27T20:02:00Z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0x010100B23E2CC30A365F42964A3D5A0C1FCA25</vt:lpwstr>
  </property>
</Properties>
</file>