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7939" w14:textId="77777777" w:rsidR="00C00E05" w:rsidRDefault="00D658CC">
      <w:pPr>
        <w:pStyle w:val="Title"/>
      </w:pPr>
      <w:r>
        <w:rPr>
          <w:b w:val="0"/>
          <w:noProof/>
        </w:rPr>
        <w:drawing>
          <wp:inline distT="0" distB="0" distL="0" distR="0" wp14:anchorId="6DBCBA60" wp14:editId="7C46E377">
            <wp:extent cx="483234" cy="3340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3234" cy="334009"/>
                    </a:xfrm>
                    <a:prstGeom prst="rect">
                      <a:avLst/>
                    </a:prstGeom>
                  </pic:spPr>
                </pic:pic>
              </a:graphicData>
            </a:graphic>
          </wp:inline>
        </w:drawing>
      </w:r>
      <w:r>
        <w:rPr>
          <w:rFonts w:ascii="Times New Roman"/>
          <w:b w:val="0"/>
          <w:spacing w:val="17"/>
          <w:sz w:val="20"/>
        </w:rPr>
        <w:t xml:space="preserve"> </w:t>
      </w:r>
      <w:r>
        <w:t>NC</w:t>
      </w:r>
      <w:r>
        <w:rPr>
          <w:spacing w:val="-2"/>
        </w:rPr>
        <w:t xml:space="preserve"> </w:t>
      </w:r>
      <w:r>
        <w:t>DHHS Notice</w:t>
      </w:r>
      <w:r>
        <w:rPr>
          <w:spacing w:val="-2"/>
        </w:rPr>
        <w:t xml:space="preserve"> </w:t>
      </w:r>
      <w:r>
        <w:t>of Funding Availability</w:t>
      </w:r>
    </w:p>
    <w:p w14:paraId="1FE44F5C" w14:textId="77777777" w:rsidR="00C00E05" w:rsidRDefault="00D658CC">
      <w:pPr>
        <w:spacing w:before="283"/>
        <w:jc w:val="center"/>
        <w:rPr>
          <w:sz w:val="36"/>
        </w:rPr>
      </w:pPr>
      <w:r>
        <w:rPr>
          <w:sz w:val="36"/>
        </w:rPr>
        <w:t>Reporting</w:t>
      </w:r>
      <w:r>
        <w:rPr>
          <w:spacing w:val="-13"/>
          <w:sz w:val="36"/>
        </w:rPr>
        <w:t xml:space="preserve"> </w:t>
      </w:r>
      <w:r>
        <w:rPr>
          <w:spacing w:val="-4"/>
          <w:sz w:val="36"/>
        </w:rPr>
        <w:t>Form</w:t>
      </w:r>
    </w:p>
    <w:p w14:paraId="14C5331F" w14:textId="77777777" w:rsidR="00C00E05" w:rsidRDefault="00D658CC">
      <w:pPr>
        <w:pStyle w:val="BodyText"/>
        <w:spacing w:before="157"/>
        <w:rPr>
          <w:sz w:val="20"/>
        </w:rPr>
      </w:pPr>
      <w:r>
        <w:rPr>
          <w:noProof/>
        </w:rPr>
        <w:drawing>
          <wp:anchor distT="0" distB="0" distL="0" distR="0" simplePos="0" relativeHeight="487587840" behindDoc="1" locked="0" layoutInCell="1" allowOverlap="1" wp14:anchorId="46915054" wp14:editId="4FC38958">
            <wp:simplePos x="0" y="0"/>
            <wp:positionH relativeFrom="page">
              <wp:posOffset>845819</wp:posOffset>
            </wp:positionH>
            <wp:positionV relativeFrom="paragraph">
              <wp:posOffset>261055</wp:posOffset>
            </wp:positionV>
            <wp:extent cx="5929929" cy="35432"/>
            <wp:effectExtent l="0" t="0" r="0" b="0"/>
            <wp:wrapTopAndBottom/>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8" cstate="print"/>
                    <a:stretch>
                      <a:fillRect/>
                    </a:stretch>
                  </pic:blipFill>
                  <pic:spPr>
                    <a:xfrm>
                      <a:off x="0" y="0"/>
                      <a:ext cx="5929929" cy="35432"/>
                    </a:xfrm>
                    <a:prstGeom prst="rect">
                      <a:avLst/>
                    </a:prstGeom>
                  </pic:spPr>
                </pic:pic>
              </a:graphicData>
            </a:graphic>
          </wp:anchor>
        </w:drawing>
      </w:r>
    </w:p>
    <w:p w14:paraId="6C46F6AA" w14:textId="77777777" w:rsidR="00C00E05" w:rsidRDefault="00C00E05">
      <w:pPr>
        <w:pStyle w:val="BodyText"/>
        <w:spacing w:before="90"/>
      </w:pPr>
    </w:p>
    <w:p w14:paraId="7971BFC1" w14:textId="7A087E85" w:rsidR="00C00E05" w:rsidRDefault="00D658CC">
      <w:pPr>
        <w:spacing w:before="1"/>
        <w:ind w:left="100"/>
        <w:rPr>
          <w:sz w:val="24"/>
        </w:rPr>
      </w:pPr>
      <w:r>
        <w:rPr>
          <w:b/>
          <w:sz w:val="24"/>
        </w:rPr>
        <w:t>DHHS</w:t>
      </w:r>
      <w:r>
        <w:rPr>
          <w:b/>
          <w:spacing w:val="-5"/>
          <w:sz w:val="24"/>
        </w:rPr>
        <w:t xml:space="preserve"> </w:t>
      </w:r>
      <w:r>
        <w:rPr>
          <w:b/>
          <w:sz w:val="24"/>
        </w:rPr>
        <w:t>Division/Office</w:t>
      </w:r>
      <w:r>
        <w:rPr>
          <w:b/>
          <w:spacing w:val="-6"/>
          <w:sz w:val="24"/>
        </w:rPr>
        <w:t xml:space="preserve"> </w:t>
      </w:r>
      <w:r>
        <w:rPr>
          <w:b/>
          <w:sz w:val="24"/>
        </w:rPr>
        <w:t>issuing</w:t>
      </w:r>
      <w:r>
        <w:rPr>
          <w:b/>
          <w:spacing w:val="-5"/>
          <w:sz w:val="24"/>
        </w:rPr>
        <w:t xml:space="preserve"> </w:t>
      </w:r>
      <w:r>
        <w:rPr>
          <w:b/>
          <w:sz w:val="24"/>
        </w:rPr>
        <w:t>this</w:t>
      </w:r>
      <w:r>
        <w:rPr>
          <w:b/>
          <w:spacing w:val="-5"/>
          <w:sz w:val="24"/>
        </w:rPr>
        <w:t xml:space="preserve"> </w:t>
      </w:r>
      <w:r>
        <w:rPr>
          <w:b/>
          <w:sz w:val="24"/>
        </w:rPr>
        <w:t>notice</w:t>
      </w:r>
      <w:r>
        <w:rPr>
          <w:sz w:val="24"/>
        </w:rPr>
        <w:t>:</w:t>
      </w:r>
      <w:r>
        <w:rPr>
          <w:spacing w:val="-9"/>
          <w:sz w:val="24"/>
        </w:rPr>
        <w:t xml:space="preserve"> </w:t>
      </w:r>
      <w:r>
        <w:rPr>
          <w:sz w:val="24"/>
        </w:rPr>
        <w:t>Division</w:t>
      </w:r>
      <w:r>
        <w:rPr>
          <w:spacing w:val="-4"/>
          <w:sz w:val="24"/>
        </w:rPr>
        <w:t xml:space="preserve"> </w:t>
      </w:r>
      <w:r>
        <w:rPr>
          <w:sz w:val="24"/>
        </w:rPr>
        <w:t>of</w:t>
      </w:r>
      <w:r>
        <w:rPr>
          <w:spacing w:val="-4"/>
          <w:sz w:val="24"/>
        </w:rPr>
        <w:t xml:space="preserve"> </w:t>
      </w:r>
      <w:r w:rsidR="00BE2FA5">
        <w:rPr>
          <w:sz w:val="24"/>
        </w:rPr>
        <w:t>Employment and Independence for People with Disabilities</w:t>
      </w:r>
    </w:p>
    <w:p w14:paraId="1BD653D0" w14:textId="557BCED2" w:rsidR="00C00E05" w:rsidRDefault="00D658CC">
      <w:pPr>
        <w:spacing w:before="276"/>
        <w:ind w:left="100"/>
        <w:rPr>
          <w:sz w:val="24"/>
        </w:rPr>
      </w:pPr>
      <w:r>
        <w:rPr>
          <w:b/>
          <w:sz w:val="24"/>
        </w:rPr>
        <w:t>Date</w:t>
      </w:r>
      <w:r>
        <w:rPr>
          <w:b/>
          <w:spacing w:val="-7"/>
          <w:sz w:val="24"/>
        </w:rPr>
        <w:t xml:space="preserve"> </w:t>
      </w:r>
      <w:r>
        <w:rPr>
          <w:b/>
          <w:sz w:val="24"/>
        </w:rPr>
        <w:t>of</w:t>
      </w:r>
      <w:r>
        <w:rPr>
          <w:b/>
          <w:spacing w:val="-7"/>
          <w:sz w:val="24"/>
        </w:rPr>
        <w:t xml:space="preserve"> </w:t>
      </w:r>
      <w:r>
        <w:rPr>
          <w:b/>
          <w:sz w:val="24"/>
        </w:rPr>
        <w:t>this</w:t>
      </w:r>
      <w:r>
        <w:rPr>
          <w:b/>
          <w:spacing w:val="-5"/>
          <w:sz w:val="24"/>
        </w:rPr>
        <w:t xml:space="preserve"> </w:t>
      </w:r>
      <w:r>
        <w:rPr>
          <w:b/>
          <w:sz w:val="24"/>
        </w:rPr>
        <w:t>notice:</w:t>
      </w:r>
      <w:r>
        <w:rPr>
          <w:b/>
          <w:spacing w:val="54"/>
          <w:sz w:val="24"/>
        </w:rPr>
        <w:t xml:space="preserve"> </w:t>
      </w:r>
      <w:r>
        <w:rPr>
          <w:sz w:val="24"/>
        </w:rPr>
        <w:t>April</w:t>
      </w:r>
      <w:r>
        <w:rPr>
          <w:spacing w:val="-7"/>
          <w:sz w:val="24"/>
        </w:rPr>
        <w:t xml:space="preserve"> </w:t>
      </w:r>
      <w:r w:rsidR="002B771F">
        <w:rPr>
          <w:sz w:val="24"/>
        </w:rPr>
        <w:t>23</w:t>
      </w:r>
      <w:r>
        <w:rPr>
          <w:sz w:val="24"/>
        </w:rPr>
        <w:t>,</w:t>
      </w:r>
      <w:r>
        <w:rPr>
          <w:spacing w:val="-6"/>
          <w:sz w:val="24"/>
        </w:rPr>
        <w:t xml:space="preserve"> </w:t>
      </w:r>
      <w:r>
        <w:rPr>
          <w:spacing w:val="-4"/>
          <w:sz w:val="24"/>
        </w:rPr>
        <w:t>202</w:t>
      </w:r>
      <w:r w:rsidR="00710786">
        <w:rPr>
          <w:spacing w:val="-4"/>
          <w:sz w:val="24"/>
        </w:rPr>
        <w:t>4</w:t>
      </w:r>
    </w:p>
    <w:p w14:paraId="085A206B" w14:textId="77777777" w:rsidR="00C00E05" w:rsidRDefault="00C00E05">
      <w:pPr>
        <w:pStyle w:val="BodyText"/>
      </w:pPr>
    </w:p>
    <w:p w14:paraId="049A51C9" w14:textId="6D5CAC8F" w:rsidR="00C00E05" w:rsidRDefault="00D658CC">
      <w:pPr>
        <w:ind w:left="100"/>
        <w:rPr>
          <w:sz w:val="24"/>
        </w:rPr>
      </w:pPr>
      <w:r>
        <w:rPr>
          <w:b/>
          <w:sz w:val="24"/>
        </w:rPr>
        <w:t>Program</w:t>
      </w:r>
      <w:r>
        <w:rPr>
          <w:b/>
          <w:spacing w:val="-8"/>
          <w:sz w:val="24"/>
        </w:rPr>
        <w:t xml:space="preserve"> </w:t>
      </w:r>
      <w:r>
        <w:rPr>
          <w:b/>
          <w:sz w:val="24"/>
        </w:rPr>
        <w:t>Name:</w:t>
      </w:r>
      <w:r>
        <w:rPr>
          <w:b/>
          <w:spacing w:val="-5"/>
          <w:sz w:val="24"/>
        </w:rPr>
        <w:t xml:space="preserve"> </w:t>
      </w:r>
      <w:r w:rsidR="00E272A9">
        <w:rPr>
          <w:sz w:val="24"/>
        </w:rPr>
        <w:t>Pre-Employment Transition Services</w:t>
      </w:r>
    </w:p>
    <w:p w14:paraId="2F40463D" w14:textId="77777777" w:rsidR="00C00E05" w:rsidRDefault="00C00E05">
      <w:pPr>
        <w:pStyle w:val="BodyText"/>
      </w:pPr>
    </w:p>
    <w:p w14:paraId="4FD3712B" w14:textId="77777777" w:rsidR="00C00E05" w:rsidRDefault="00D658CC">
      <w:pPr>
        <w:pStyle w:val="Heading1"/>
        <w:rPr>
          <w:spacing w:val="-2"/>
        </w:rPr>
      </w:pPr>
      <w:r>
        <w:rPr>
          <w:spacing w:val="-2"/>
        </w:rPr>
        <w:t>Purpose:</w:t>
      </w:r>
    </w:p>
    <w:p w14:paraId="1000B998" w14:textId="77777777" w:rsidR="00B637D5" w:rsidRDefault="00B637D5">
      <w:pPr>
        <w:pStyle w:val="Heading1"/>
      </w:pPr>
    </w:p>
    <w:p w14:paraId="21A173EC" w14:textId="62EE12E1" w:rsidR="00C00E05" w:rsidRPr="00B637D5" w:rsidRDefault="00B637D5">
      <w:pPr>
        <w:pStyle w:val="BodyText"/>
        <w:rPr>
          <w:rFonts w:ascii="Helvetica" w:hAnsi="Helvetica" w:cs="Helvetica"/>
          <w:color w:val="000000"/>
          <w:shd w:val="clear" w:color="auto" w:fill="FFFFFF"/>
        </w:rPr>
      </w:pPr>
      <w:r>
        <w:rPr>
          <w:rFonts w:ascii="Helvetica" w:hAnsi="Helvetica" w:cs="Helvetica"/>
          <w:color w:val="000000"/>
          <w:shd w:val="clear" w:color="auto" w:fill="FFFFFF"/>
        </w:rPr>
        <w:t>The purpose of this Request for Applications for Community Rehabilitation Partnership (RACRP) is to solicit agencies or organizations to provide pre-employment transition services (Pre-ETS) in order to increase the Divisions’ capacity for reaching and serving students with disabilities across North Carolina. </w:t>
      </w:r>
    </w:p>
    <w:p w14:paraId="49E8E626" w14:textId="77777777" w:rsidR="00C00E05" w:rsidRDefault="00C00E05">
      <w:pPr>
        <w:pStyle w:val="BodyText"/>
        <w:spacing w:before="1"/>
        <w:rPr>
          <w:b/>
        </w:rPr>
      </w:pPr>
    </w:p>
    <w:p w14:paraId="06D2203E" w14:textId="77777777" w:rsidR="00C00E05" w:rsidRDefault="00D658CC">
      <w:pPr>
        <w:ind w:left="100"/>
        <w:rPr>
          <w:b/>
          <w:spacing w:val="-2"/>
          <w:sz w:val="24"/>
        </w:rPr>
      </w:pPr>
      <w:r>
        <w:rPr>
          <w:b/>
          <w:spacing w:val="-2"/>
          <w:sz w:val="24"/>
        </w:rPr>
        <w:t>Description:</w:t>
      </w:r>
    </w:p>
    <w:p w14:paraId="3C3A9AD6" w14:textId="77777777" w:rsidR="00E272A9" w:rsidRDefault="00E272A9" w:rsidP="00B637D5">
      <w:pPr>
        <w:rPr>
          <w:b/>
          <w:spacing w:val="-2"/>
          <w:sz w:val="24"/>
        </w:rPr>
      </w:pPr>
    </w:p>
    <w:p w14:paraId="62E85B44" w14:textId="79951C4E" w:rsidR="00C00E05" w:rsidRDefault="00B637D5" w:rsidP="00DE2AC1">
      <w:pPr>
        <w:pStyle w:val="ParagraphRFA"/>
      </w:pPr>
      <w:r w:rsidRPr="006C585F">
        <w:t>Pre-Employment Transition Services (</w:t>
      </w:r>
      <w:r>
        <w:t>Pre-ETS</w:t>
      </w:r>
      <w:r w:rsidRPr="006C585F">
        <w:t>) are a set of activities defined by the federal Workforce Innovation and Opportunity Act (WIOA) of 2014</w:t>
      </w:r>
      <w:r>
        <w:t xml:space="preserve"> (Public Law 113-128)</w:t>
      </w:r>
      <w:r w:rsidRPr="006C585F">
        <w:t xml:space="preserve"> intended to expose students with disabilities at an early age to self-advocacy, postsecondary training, and employment skills and options.  WIOA requires that the vocational rehabilitation program provide a continuum of services to students and youth which begins with </w:t>
      </w:r>
      <w:r>
        <w:t>Pre-ETS</w:t>
      </w:r>
      <w:r w:rsidRPr="006C585F">
        <w:t xml:space="preserve"> and, for individuals who are eligible for the vocational rehabilitation program, continues with vocational rehabilitation transition </w:t>
      </w:r>
      <w:r>
        <w:t xml:space="preserve">and employment </w:t>
      </w:r>
      <w:r w:rsidRPr="006C585F">
        <w:t xml:space="preserve">services.  The Division of </w:t>
      </w:r>
      <w:r>
        <w:t xml:space="preserve">Employment and Independence for People with Disabilities (EIPD), formerly the </w:t>
      </w:r>
      <w:r w:rsidRPr="006C585F">
        <w:t>NC</w:t>
      </w:r>
      <w:r>
        <w:t xml:space="preserve"> </w:t>
      </w:r>
      <w:r w:rsidRPr="006C585F">
        <w:t>D</w:t>
      </w:r>
      <w:r>
        <w:t xml:space="preserve">ivision of </w:t>
      </w:r>
      <w:r w:rsidRPr="006C585F">
        <w:t>V</w:t>
      </w:r>
      <w:r>
        <w:t xml:space="preserve">ocational </w:t>
      </w:r>
      <w:r w:rsidRPr="006C585F">
        <w:t>R</w:t>
      </w:r>
      <w:r>
        <w:t>ehabilitation Services (NCDVR</w:t>
      </w:r>
      <w:r w:rsidRPr="006C585F">
        <w:t>)</w:t>
      </w:r>
      <w:r>
        <w:t>,</w:t>
      </w:r>
      <w:r w:rsidRPr="006C585F">
        <w:t xml:space="preserve"> and</w:t>
      </w:r>
      <w:r>
        <w:t xml:space="preserve"> the</w:t>
      </w:r>
      <w:r w:rsidRPr="006C585F">
        <w:t xml:space="preserve"> NC Division of Services for the Blind (NCDSB) seek applications from organizations and agencies that will provide pre-employment transition services to students with disabilities </w:t>
      </w:r>
      <w:r>
        <w:t>in North Carolina</w:t>
      </w:r>
      <w:r w:rsidRPr="006C585F">
        <w:t>.</w:t>
      </w:r>
    </w:p>
    <w:p w14:paraId="07021905" w14:textId="77777777" w:rsidR="00C00E05" w:rsidRDefault="00C00E05">
      <w:pPr>
        <w:pStyle w:val="BodyText"/>
        <w:spacing w:before="1"/>
      </w:pPr>
    </w:p>
    <w:p w14:paraId="43125434" w14:textId="77777777" w:rsidR="00B637D5" w:rsidRDefault="00D658CC">
      <w:pPr>
        <w:ind w:left="100"/>
        <w:rPr>
          <w:b/>
          <w:spacing w:val="-2"/>
          <w:sz w:val="24"/>
        </w:rPr>
      </w:pPr>
      <w:r>
        <w:rPr>
          <w:b/>
          <w:sz w:val="24"/>
        </w:rPr>
        <w:t>Funding</w:t>
      </w:r>
      <w:r>
        <w:rPr>
          <w:b/>
          <w:spacing w:val="-5"/>
          <w:sz w:val="24"/>
        </w:rPr>
        <w:t xml:space="preserve"> </w:t>
      </w:r>
      <w:r>
        <w:rPr>
          <w:b/>
          <w:sz w:val="24"/>
        </w:rPr>
        <w:t>Availability:</w:t>
      </w:r>
      <w:r>
        <w:rPr>
          <w:b/>
          <w:spacing w:val="-2"/>
          <w:sz w:val="24"/>
        </w:rPr>
        <w:t xml:space="preserve"> </w:t>
      </w:r>
    </w:p>
    <w:p w14:paraId="2C176348" w14:textId="77777777" w:rsidR="00B637D5" w:rsidRDefault="00B637D5" w:rsidP="00B637D5">
      <w:pPr>
        <w:rPr>
          <w:bCs/>
          <w:spacing w:val="-2"/>
          <w:sz w:val="24"/>
        </w:rPr>
      </w:pPr>
    </w:p>
    <w:p w14:paraId="76869C12" w14:textId="3851903E" w:rsidR="00C00E05" w:rsidRDefault="00B637D5" w:rsidP="00B637D5">
      <w:pPr>
        <w:rPr>
          <w:sz w:val="24"/>
        </w:rPr>
      </w:pPr>
      <w:r>
        <w:rPr>
          <w:bCs/>
          <w:spacing w:val="-2"/>
          <w:sz w:val="24"/>
        </w:rPr>
        <w:t xml:space="preserve">The Divisions will award up to </w:t>
      </w:r>
      <w:r w:rsidR="00D658CC" w:rsidRPr="002530FC">
        <w:rPr>
          <w:spacing w:val="-2"/>
          <w:sz w:val="24"/>
        </w:rPr>
        <w:t>$</w:t>
      </w:r>
      <w:r w:rsidR="00E272A9">
        <w:rPr>
          <w:spacing w:val="-2"/>
          <w:sz w:val="24"/>
        </w:rPr>
        <w:t>17</w:t>
      </w:r>
      <w:r w:rsidR="00D658CC" w:rsidRPr="002530FC">
        <w:rPr>
          <w:spacing w:val="-2"/>
          <w:sz w:val="24"/>
        </w:rPr>
        <w:t>,000,000</w:t>
      </w:r>
      <w:r>
        <w:rPr>
          <w:spacing w:val="-2"/>
          <w:sz w:val="24"/>
        </w:rPr>
        <w:t xml:space="preserve"> for approved Pre-ETS projects, contingent on funding availability.  The actual number of awards will be dependent on the number of submitted applications that meet the requirements defined in the RACRP.</w:t>
      </w:r>
    </w:p>
    <w:p w14:paraId="251E54C7" w14:textId="77777777" w:rsidR="00C00E05" w:rsidRDefault="00C00E05">
      <w:pPr>
        <w:pStyle w:val="BodyText"/>
      </w:pPr>
    </w:p>
    <w:p w14:paraId="17A7220C" w14:textId="77777777" w:rsidR="00C00E05" w:rsidRDefault="00D658CC">
      <w:pPr>
        <w:pStyle w:val="Heading1"/>
      </w:pPr>
      <w:r>
        <w:rPr>
          <w:spacing w:val="-2"/>
        </w:rPr>
        <w:t>Eligibility:</w:t>
      </w:r>
    </w:p>
    <w:p w14:paraId="01D1F257" w14:textId="77777777" w:rsidR="00C00E05" w:rsidRDefault="00C00E05">
      <w:pPr>
        <w:pStyle w:val="BodyText"/>
        <w:rPr>
          <w:b/>
        </w:rPr>
      </w:pPr>
    </w:p>
    <w:p w14:paraId="3DCF1F1B" w14:textId="54EE5E9B" w:rsidR="00C00E05" w:rsidRDefault="00B637D5" w:rsidP="00B637D5">
      <w:pPr>
        <w:ind w:right="270"/>
        <w:jc w:val="both"/>
      </w:pPr>
      <w:bookmarkStart w:id="0" w:name="_Toc48209176"/>
      <w:r>
        <w:rPr>
          <w:rFonts w:ascii="Helvetica" w:hAnsi="Helvetica" w:cs="Helvetica"/>
          <w:color w:val="000000"/>
          <w:shd w:val="clear" w:color="auto" w:fill="FFFFFF"/>
        </w:rPr>
        <w:t xml:space="preserve">As part of their response to the RACRP, eligible applicants must meet minimum qualifications: (1) demonstrate that the organization’s direct service staff have three or more years of related experiences with students or youth in Pre-ETS or similar services for which the Applicant is applying OR provide evidence that the organization will recruit for direct service staff with this minimum experience OR provide evidence that direct staff will be supervised by individuals who have this minimum experience; (2) be registered as a business in the state of NC by the NC Secretary of State; (3) provide evidence that the organization conducts criminal background checks and manages abnormalities in a manner </w:t>
      </w:r>
      <w:r>
        <w:rPr>
          <w:rFonts w:ascii="Helvetica" w:hAnsi="Helvetica" w:cs="Helvetica"/>
          <w:color w:val="000000"/>
          <w:shd w:val="clear" w:color="auto" w:fill="FFFFFF"/>
        </w:rPr>
        <w:lastRenderedPageBreak/>
        <w:t>consistent with that outlined in the RACRP; and (4) provide evidence of financial soundness and stability as outlined in the RACRP</w:t>
      </w:r>
      <w:r>
        <w:t>.</w:t>
      </w:r>
      <w:bookmarkEnd w:id="0"/>
    </w:p>
    <w:p w14:paraId="1FEFC741" w14:textId="77777777" w:rsidR="00B637D5" w:rsidRDefault="00B637D5" w:rsidP="00B637D5">
      <w:pPr>
        <w:ind w:right="270"/>
        <w:jc w:val="both"/>
      </w:pPr>
    </w:p>
    <w:p w14:paraId="18251532" w14:textId="77777777" w:rsidR="00EF038D" w:rsidRDefault="00D658CC" w:rsidP="00EF038D">
      <w:pPr>
        <w:pStyle w:val="Heading1"/>
        <w:spacing w:before="1"/>
        <w:rPr>
          <w:spacing w:val="-2"/>
        </w:rPr>
      </w:pPr>
      <w:r>
        <w:t>How</w:t>
      </w:r>
      <w:r>
        <w:rPr>
          <w:spacing w:val="1"/>
        </w:rPr>
        <w:t xml:space="preserve"> </w:t>
      </w:r>
      <w:r>
        <w:t>to</w:t>
      </w:r>
      <w:r>
        <w:rPr>
          <w:spacing w:val="-2"/>
        </w:rPr>
        <w:t xml:space="preserve"> Apply:</w:t>
      </w:r>
    </w:p>
    <w:p w14:paraId="40250ABA" w14:textId="77777777" w:rsidR="00EF038D" w:rsidRDefault="00EF038D" w:rsidP="00EF038D">
      <w:pPr>
        <w:pStyle w:val="Heading1"/>
        <w:spacing w:before="1"/>
        <w:rPr>
          <w:spacing w:val="-2"/>
        </w:rPr>
      </w:pPr>
    </w:p>
    <w:p w14:paraId="5A2884A5" w14:textId="1F43C03D" w:rsidR="00B637D5" w:rsidRDefault="00B637D5" w:rsidP="00B637D5">
      <w:pPr>
        <w:rPr>
          <w:b/>
          <w:bCs/>
          <w:i/>
          <w:iCs/>
        </w:rPr>
      </w:pPr>
      <w:r w:rsidRPr="00FB1F31">
        <w:t>Agencies</w:t>
      </w:r>
      <w:r>
        <w:t xml:space="preserve"> and organizations</w:t>
      </w:r>
      <w:r w:rsidRPr="00FB1F31">
        <w:t xml:space="preserve"> that are currently under contract to provide Pre-Employment Transition Services (Pre-ETS) are required to send a </w:t>
      </w:r>
      <w:hyperlink r:id="rId9" w:history="1">
        <w:r w:rsidRPr="00A53C66">
          <w:rPr>
            <w:rStyle w:val="Hyperlink"/>
            <w:b/>
            <w:i/>
          </w:rPr>
          <w:t>Pre-ETS Renewal Application for Community Rehabilitation Partnership</w:t>
        </w:r>
      </w:hyperlink>
      <w:r w:rsidRPr="00FB1F31">
        <w:t xml:space="preserve"> by the deadline in order to have an executed contract in the next renewal cycle.</w:t>
      </w:r>
      <w:r>
        <w:t xml:space="preserve">  All other Applicants must submit a </w:t>
      </w:r>
      <w:hyperlink r:id="rId10" w:history="1">
        <w:r w:rsidRPr="0080327C">
          <w:rPr>
            <w:rStyle w:val="Hyperlink"/>
            <w:b/>
            <w:bCs/>
            <w:i/>
            <w:iCs/>
          </w:rPr>
          <w:t>Pre-ETS Application for Community Rehabilitation Partnership</w:t>
        </w:r>
      </w:hyperlink>
      <w:r w:rsidRPr="0070430C">
        <w:rPr>
          <w:b/>
          <w:bCs/>
          <w:i/>
          <w:iCs/>
        </w:rPr>
        <w:t>.</w:t>
      </w:r>
    </w:p>
    <w:p w14:paraId="7700BDC4" w14:textId="77777777" w:rsidR="00B637D5" w:rsidRDefault="00B637D5" w:rsidP="00B637D5">
      <w:pPr>
        <w:rPr>
          <w:b/>
          <w:bCs/>
          <w:i/>
          <w:iCs/>
        </w:rPr>
      </w:pPr>
    </w:p>
    <w:p w14:paraId="434ABD6C" w14:textId="5501D73F" w:rsidR="00B637D5" w:rsidRDefault="00B637D5" w:rsidP="00B637D5">
      <w:r w:rsidRPr="00B637D5">
        <w:rPr>
          <w:b/>
          <w:bCs/>
        </w:rPr>
        <w:t xml:space="preserve">ALL </w:t>
      </w:r>
      <w:r>
        <w:rPr>
          <w:b/>
          <w:bCs/>
        </w:rPr>
        <w:t>a</w:t>
      </w:r>
      <w:r w:rsidRPr="00B637D5">
        <w:rPr>
          <w:b/>
          <w:bCs/>
        </w:rPr>
        <w:t>pplicants</w:t>
      </w:r>
      <w:r>
        <w:t xml:space="preserve"> must also submit the following application documents:</w:t>
      </w:r>
    </w:p>
    <w:p w14:paraId="18BCDDE3" w14:textId="77777777" w:rsidR="00B637D5" w:rsidRDefault="00B637D5" w:rsidP="00B637D5"/>
    <w:p w14:paraId="2880F254" w14:textId="02EA7B77" w:rsidR="00B637D5" w:rsidRPr="00BA7962" w:rsidRDefault="009B441D" w:rsidP="00B637D5">
      <w:pPr>
        <w:pStyle w:val="ListParagraph"/>
        <w:numPr>
          <w:ilvl w:val="0"/>
          <w:numId w:val="10"/>
        </w:numPr>
        <w:rPr>
          <w:b/>
          <w:bCs/>
          <w:i/>
          <w:iCs/>
        </w:rPr>
      </w:pPr>
      <w:hyperlink r:id="rId11" w:history="1">
        <w:r w:rsidR="00B637D5" w:rsidRPr="009B441D">
          <w:rPr>
            <w:rStyle w:val="Hyperlink"/>
            <w:b/>
            <w:bCs/>
            <w:i/>
            <w:iCs/>
          </w:rPr>
          <w:t>Cover Page</w:t>
        </w:r>
      </w:hyperlink>
    </w:p>
    <w:p w14:paraId="10BACC8B" w14:textId="3E77C0BB" w:rsidR="00B637D5" w:rsidRPr="00BA7962" w:rsidRDefault="009B441D" w:rsidP="00B637D5">
      <w:pPr>
        <w:pStyle w:val="ListParagraph"/>
        <w:numPr>
          <w:ilvl w:val="0"/>
          <w:numId w:val="10"/>
        </w:numPr>
        <w:rPr>
          <w:b/>
          <w:bCs/>
          <w:i/>
          <w:iCs/>
        </w:rPr>
      </w:pPr>
      <w:hyperlink r:id="rId12" w:history="1">
        <w:r w:rsidR="00B637D5" w:rsidRPr="009B441D">
          <w:rPr>
            <w:rStyle w:val="Hyperlink"/>
            <w:b/>
            <w:bCs/>
            <w:i/>
            <w:iCs/>
          </w:rPr>
          <w:t>Pre-ETS Standard Milestone Selection Page</w:t>
        </w:r>
      </w:hyperlink>
    </w:p>
    <w:p w14:paraId="0EAB8600" w14:textId="77777777" w:rsidR="00B637D5" w:rsidRDefault="00B637D5" w:rsidP="00B637D5"/>
    <w:p w14:paraId="39B40EF3" w14:textId="479DC9AA" w:rsidR="00C00E05" w:rsidRDefault="00B637D5" w:rsidP="00DE2AC1">
      <w:r>
        <w:t>Detailed instructions for appl</w:t>
      </w:r>
      <w:r w:rsidR="00DE2AC1">
        <w:t>ying</w:t>
      </w:r>
      <w:r>
        <w:t xml:space="preserve"> are found in the RACRP.  </w:t>
      </w:r>
    </w:p>
    <w:p w14:paraId="4BAE5E50" w14:textId="77777777" w:rsidR="00C00E05" w:rsidRDefault="00C00E05">
      <w:pPr>
        <w:pStyle w:val="BodyText"/>
        <w:spacing w:before="1"/>
      </w:pPr>
    </w:p>
    <w:p w14:paraId="7B64FB53" w14:textId="77777777" w:rsidR="00C00E05" w:rsidRDefault="00D658CC">
      <w:pPr>
        <w:pStyle w:val="Heading1"/>
      </w:pPr>
      <w:r>
        <w:t>Deadline</w:t>
      </w:r>
      <w:r>
        <w:rPr>
          <w:spacing w:val="-11"/>
        </w:rPr>
        <w:t xml:space="preserve"> </w:t>
      </w:r>
      <w:r>
        <w:t>for</w:t>
      </w:r>
      <w:r>
        <w:rPr>
          <w:spacing w:val="-13"/>
        </w:rPr>
        <w:t xml:space="preserve"> </w:t>
      </w:r>
      <w:r>
        <w:rPr>
          <w:spacing w:val="-2"/>
        </w:rPr>
        <w:t>Submission:</w:t>
      </w:r>
    </w:p>
    <w:p w14:paraId="6C0A9E4E" w14:textId="77777777" w:rsidR="00C00E05" w:rsidRDefault="00C00E05">
      <w:pPr>
        <w:pStyle w:val="BodyText"/>
        <w:rPr>
          <w:b/>
        </w:rPr>
      </w:pPr>
    </w:p>
    <w:p w14:paraId="6E67F99D" w14:textId="65577127" w:rsidR="00C00E05" w:rsidRDefault="00DE2AC1">
      <w:pPr>
        <w:pStyle w:val="BodyText"/>
        <w:ind w:left="100" w:right="181"/>
      </w:pPr>
      <w:r>
        <w:t>The deadline for initial awards for an award to begin September 1</w:t>
      </w:r>
      <w:r>
        <w:rPr>
          <w:vertAlign w:val="superscript"/>
        </w:rPr>
        <w:t xml:space="preserve">, </w:t>
      </w:r>
      <w:r>
        <w:t xml:space="preserve">2024 is </w:t>
      </w:r>
      <w:r w:rsidRPr="00DE2AC1">
        <w:rPr>
          <w:u w:val="single"/>
        </w:rPr>
        <w:t xml:space="preserve">5:00 PM, </w:t>
      </w:r>
      <w:r w:rsidR="00D658CC" w:rsidRPr="00DE2AC1">
        <w:rPr>
          <w:u w:val="single"/>
        </w:rPr>
        <w:t xml:space="preserve">May </w:t>
      </w:r>
      <w:r w:rsidR="00EF038D" w:rsidRPr="00DE2AC1">
        <w:rPr>
          <w:u w:val="single"/>
        </w:rPr>
        <w:t>7</w:t>
      </w:r>
      <w:r w:rsidR="00D658CC" w:rsidRPr="00DE2AC1">
        <w:rPr>
          <w:u w:val="single"/>
        </w:rPr>
        <w:t>, 2024</w:t>
      </w:r>
      <w:r>
        <w:t>.  Any applications received after the initial deadline shall be considered</w:t>
      </w:r>
      <w:r w:rsidR="00D658CC">
        <w:rPr>
          <w:b/>
        </w:rPr>
        <w:t xml:space="preserve"> </w:t>
      </w:r>
      <w:r>
        <w:t>on an ongoing basis for future awards based on funding availability.</w:t>
      </w:r>
    </w:p>
    <w:p w14:paraId="25DFEFCD" w14:textId="77777777" w:rsidR="00C00E05" w:rsidRDefault="00C00E05">
      <w:pPr>
        <w:pStyle w:val="BodyText"/>
      </w:pPr>
    </w:p>
    <w:p w14:paraId="1AFF5761" w14:textId="77777777" w:rsidR="00C00E05" w:rsidRDefault="00C00E05">
      <w:pPr>
        <w:pStyle w:val="BodyText"/>
      </w:pPr>
    </w:p>
    <w:p w14:paraId="50C7D7CA" w14:textId="77777777" w:rsidR="00C00E05" w:rsidRDefault="00D658CC">
      <w:pPr>
        <w:ind w:left="100"/>
        <w:rPr>
          <w:b/>
          <w:spacing w:val="-2"/>
          <w:sz w:val="24"/>
        </w:rPr>
      </w:pPr>
      <w:r>
        <w:rPr>
          <w:b/>
          <w:sz w:val="24"/>
        </w:rPr>
        <w:t>How</w:t>
      </w:r>
      <w:r>
        <w:rPr>
          <w:b/>
          <w:spacing w:val="2"/>
          <w:sz w:val="24"/>
        </w:rPr>
        <w:t xml:space="preserve"> </w:t>
      </w:r>
      <w:r>
        <w:rPr>
          <w:b/>
          <w:sz w:val="24"/>
        </w:rPr>
        <w:t>to</w:t>
      </w:r>
      <w:r>
        <w:rPr>
          <w:b/>
          <w:spacing w:val="-3"/>
          <w:sz w:val="24"/>
        </w:rPr>
        <w:t xml:space="preserve"> </w:t>
      </w:r>
      <w:r>
        <w:rPr>
          <w:b/>
          <w:sz w:val="24"/>
        </w:rPr>
        <w:t>Obtain</w:t>
      </w:r>
      <w:r>
        <w:rPr>
          <w:b/>
          <w:spacing w:val="-3"/>
          <w:sz w:val="24"/>
        </w:rPr>
        <w:t xml:space="preserve"> </w:t>
      </w:r>
      <w:r>
        <w:rPr>
          <w:b/>
          <w:sz w:val="24"/>
        </w:rPr>
        <w:t>Further</w:t>
      </w:r>
      <w:r>
        <w:rPr>
          <w:b/>
          <w:spacing w:val="-2"/>
          <w:sz w:val="24"/>
        </w:rPr>
        <w:t xml:space="preserve"> Information:</w:t>
      </w:r>
    </w:p>
    <w:p w14:paraId="1377AF15" w14:textId="77777777" w:rsidR="00DE2AC1" w:rsidRDefault="00DE2AC1">
      <w:pPr>
        <w:ind w:left="100"/>
        <w:rPr>
          <w:b/>
          <w:sz w:val="24"/>
        </w:rPr>
      </w:pPr>
    </w:p>
    <w:p w14:paraId="1DAE3907" w14:textId="01673A97" w:rsidR="00C00E05" w:rsidRDefault="00DE2AC1">
      <w:pPr>
        <w:pStyle w:val="BodyText"/>
        <w:rPr>
          <w:bCs/>
        </w:rPr>
      </w:pPr>
      <w:r>
        <w:rPr>
          <w:bCs/>
        </w:rPr>
        <w:t xml:space="preserve">Direct all inquiries concerning this RACRP to </w:t>
      </w:r>
      <w:r w:rsidR="00EF038D" w:rsidRPr="00EF038D">
        <w:rPr>
          <w:bCs/>
        </w:rPr>
        <w:t xml:space="preserve"> </w:t>
      </w:r>
      <w:hyperlink r:id="rId13" w:history="1">
        <w:r w:rsidR="00EF038D" w:rsidRPr="00EF038D">
          <w:rPr>
            <w:rStyle w:val="Hyperlink"/>
            <w:bCs/>
          </w:rPr>
          <w:t>dvr.vrPRE-ETSRACRP@dhhs.nc.gov</w:t>
        </w:r>
      </w:hyperlink>
      <w:r>
        <w:rPr>
          <w:bCs/>
        </w:rPr>
        <w:t>.</w:t>
      </w:r>
    </w:p>
    <w:p w14:paraId="5D607A05" w14:textId="77777777" w:rsidR="00DE2AC1" w:rsidRDefault="00DE2AC1">
      <w:pPr>
        <w:pStyle w:val="BodyText"/>
        <w:rPr>
          <w:bCs/>
        </w:rPr>
      </w:pPr>
    </w:p>
    <w:p w14:paraId="3FCE7073" w14:textId="3E1B7254" w:rsidR="00C00E05" w:rsidRPr="00EF038D" w:rsidRDefault="00DE2AC1" w:rsidP="00F6055D">
      <w:pPr>
        <w:pStyle w:val="BodyText"/>
        <w:rPr>
          <w:bCs/>
        </w:rPr>
      </w:pPr>
      <w:r>
        <w:rPr>
          <w:bCs/>
        </w:rPr>
        <w:t xml:space="preserve">Additional information is available: </w:t>
      </w:r>
      <w:hyperlink r:id="rId14" w:history="1">
        <w:r w:rsidRPr="00F6055D">
          <w:rPr>
            <w:rStyle w:val="Hyperlink"/>
            <w:bCs/>
          </w:rPr>
          <w:t>Pre-ETS Request for Applications for Community Rehabilitation Partnership (RACRP) #1062</w:t>
        </w:r>
      </w:hyperlink>
    </w:p>
    <w:sectPr w:rsidR="00C00E05" w:rsidRPr="00EF038D">
      <w:headerReference w:type="default" r:id="rId15"/>
      <w:pgSz w:w="12240" w:h="15840"/>
      <w:pgMar w:top="1520" w:right="980" w:bottom="280" w:left="9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AE32" w14:textId="77777777" w:rsidR="00575F71" w:rsidRDefault="00575F71">
      <w:r>
        <w:separator/>
      </w:r>
    </w:p>
  </w:endnote>
  <w:endnote w:type="continuationSeparator" w:id="0">
    <w:p w14:paraId="375D4249" w14:textId="77777777" w:rsidR="00575F71" w:rsidRDefault="0057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6CD7" w14:textId="77777777" w:rsidR="00575F71" w:rsidRDefault="00575F71">
      <w:r>
        <w:separator/>
      </w:r>
    </w:p>
  </w:footnote>
  <w:footnote w:type="continuationSeparator" w:id="0">
    <w:p w14:paraId="5102A4D4" w14:textId="77777777" w:rsidR="00575F71" w:rsidRDefault="0057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09E6" w14:textId="77777777" w:rsidR="00C00E05" w:rsidRDefault="00D658CC">
    <w:pPr>
      <w:pStyle w:val="BodyText"/>
      <w:spacing w:line="14" w:lineRule="auto"/>
      <w:rPr>
        <w:sz w:val="20"/>
      </w:rPr>
    </w:pPr>
    <w:r>
      <w:rPr>
        <w:noProof/>
      </w:rPr>
      <mc:AlternateContent>
        <mc:Choice Requires="wps">
          <w:drawing>
            <wp:anchor distT="0" distB="0" distL="0" distR="0" simplePos="0" relativeHeight="487515136" behindDoc="1" locked="0" layoutInCell="1" allowOverlap="1" wp14:anchorId="583D8F20" wp14:editId="4CA8911F">
              <wp:simplePos x="0" y="0"/>
              <wp:positionH relativeFrom="page">
                <wp:posOffset>203200</wp:posOffset>
              </wp:positionH>
              <wp:positionV relativeFrom="page">
                <wp:posOffset>116405</wp:posOffset>
              </wp:positionV>
              <wp:extent cx="319849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8495" cy="139065"/>
                      </a:xfrm>
                      <a:prstGeom prst="rect">
                        <a:avLst/>
                      </a:prstGeom>
                    </wps:spPr>
                    <wps:txbx>
                      <w:txbxContent>
                        <w:p w14:paraId="79D42B93" w14:textId="6F8411C5" w:rsidR="00C00E05" w:rsidRDefault="00C00E05">
                          <w:pPr>
                            <w:spacing w:before="14"/>
                            <w:ind w:left="20"/>
                            <w:rPr>
                              <w:sz w:val="16"/>
                            </w:rPr>
                          </w:pPr>
                        </w:p>
                      </w:txbxContent>
                    </wps:txbx>
                    <wps:bodyPr wrap="square" lIns="0" tIns="0" rIns="0" bIns="0" rtlCol="0">
                      <a:noAutofit/>
                    </wps:bodyPr>
                  </wps:wsp>
                </a:graphicData>
              </a:graphic>
            </wp:anchor>
          </w:drawing>
        </mc:Choice>
        <mc:Fallback xmlns:w16du="http://schemas.microsoft.com/office/word/2023/wordml/word16du">
          <w:pict>
            <v:shapetype w14:anchorId="583D8F20" id="_x0000_t202" coordsize="21600,21600" o:spt="202" path="m,l,21600r21600,l21600,xe">
              <v:stroke joinstyle="miter"/>
              <v:path gradientshapeok="t" o:connecttype="rect"/>
            </v:shapetype>
            <v:shape id="Textbox 1" o:spid="_x0000_s1026" type="#_x0000_t202" style="position:absolute;margin-left:16pt;margin-top:9.15pt;width:251.85pt;height:10.9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" filled="f" stroked="f">
              <v:textbox inset="0,0,0,0">
                <w:txbxContent>
                  <w:p w14:paraId="79D42B93" w14:textId="6F8411C5" w:rsidR="00C00E05" w:rsidRDefault="00C00E05">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613"/>
    <w:multiLevelType w:val="hybridMultilevel"/>
    <w:tmpl w:val="02BEAC8E"/>
    <w:lvl w:ilvl="0" w:tplc="4E521E1A">
      <w:start w:val="1"/>
      <w:numFmt w:val="upperLetter"/>
      <w:pStyle w:val="Level2RF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B40B04"/>
    <w:multiLevelType w:val="hybridMultilevel"/>
    <w:tmpl w:val="8944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254CF"/>
    <w:multiLevelType w:val="hybridMultilevel"/>
    <w:tmpl w:val="F1D4E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53A30CC"/>
    <w:multiLevelType w:val="hybridMultilevel"/>
    <w:tmpl w:val="6E40FD14"/>
    <w:lvl w:ilvl="0" w:tplc="A47CCFA2">
      <w:numFmt w:val="bullet"/>
      <w:lvlText w:val="•"/>
      <w:lvlJc w:val="left"/>
      <w:pPr>
        <w:ind w:left="1691" w:hanging="151"/>
      </w:pPr>
      <w:rPr>
        <w:rFonts w:ascii="Arial" w:eastAsia="Arial" w:hAnsi="Arial" w:cs="Arial" w:hint="default"/>
        <w:b w:val="0"/>
        <w:bCs w:val="0"/>
        <w:i w:val="0"/>
        <w:iCs w:val="0"/>
        <w:spacing w:val="0"/>
        <w:w w:val="100"/>
        <w:sz w:val="24"/>
        <w:szCs w:val="24"/>
        <w:lang w:val="en-US" w:eastAsia="en-US" w:bidi="ar-SA"/>
      </w:rPr>
    </w:lvl>
    <w:lvl w:ilvl="1" w:tplc="39B8AE84">
      <w:numFmt w:val="bullet"/>
      <w:lvlText w:val="•"/>
      <w:lvlJc w:val="left"/>
      <w:pPr>
        <w:ind w:left="2558" w:hanging="151"/>
      </w:pPr>
      <w:rPr>
        <w:rFonts w:hint="default"/>
        <w:lang w:val="en-US" w:eastAsia="en-US" w:bidi="ar-SA"/>
      </w:rPr>
    </w:lvl>
    <w:lvl w:ilvl="2" w:tplc="7C7401F0">
      <w:numFmt w:val="bullet"/>
      <w:lvlText w:val="•"/>
      <w:lvlJc w:val="left"/>
      <w:pPr>
        <w:ind w:left="3416" w:hanging="151"/>
      </w:pPr>
      <w:rPr>
        <w:rFonts w:hint="default"/>
        <w:lang w:val="en-US" w:eastAsia="en-US" w:bidi="ar-SA"/>
      </w:rPr>
    </w:lvl>
    <w:lvl w:ilvl="3" w:tplc="908A896A">
      <w:numFmt w:val="bullet"/>
      <w:lvlText w:val="•"/>
      <w:lvlJc w:val="left"/>
      <w:pPr>
        <w:ind w:left="4274" w:hanging="151"/>
      </w:pPr>
      <w:rPr>
        <w:rFonts w:hint="default"/>
        <w:lang w:val="en-US" w:eastAsia="en-US" w:bidi="ar-SA"/>
      </w:rPr>
    </w:lvl>
    <w:lvl w:ilvl="4" w:tplc="2C46DE68">
      <w:numFmt w:val="bullet"/>
      <w:lvlText w:val="•"/>
      <w:lvlJc w:val="left"/>
      <w:pPr>
        <w:ind w:left="5132" w:hanging="151"/>
      </w:pPr>
      <w:rPr>
        <w:rFonts w:hint="default"/>
        <w:lang w:val="en-US" w:eastAsia="en-US" w:bidi="ar-SA"/>
      </w:rPr>
    </w:lvl>
    <w:lvl w:ilvl="5" w:tplc="D2A8ED7C">
      <w:numFmt w:val="bullet"/>
      <w:lvlText w:val="•"/>
      <w:lvlJc w:val="left"/>
      <w:pPr>
        <w:ind w:left="5990" w:hanging="151"/>
      </w:pPr>
      <w:rPr>
        <w:rFonts w:hint="default"/>
        <w:lang w:val="en-US" w:eastAsia="en-US" w:bidi="ar-SA"/>
      </w:rPr>
    </w:lvl>
    <w:lvl w:ilvl="6" w:tplc="6B48096A">
      <w:numFmt w:val="bullet"/>
      <w:lvlText w:val="•"/>
      <w:lvlJc w:val="left"/>
      <w:pPr>
        <w:ind w:left="6848" w:hanging="151"/>
      </w:pPr>
      <w:rPr>
        <w:rFonts w:hint="default"/>
        <w:lang w:val="en-US" w:eastAsia="en-US" w:bidi="ar-SA"/>
      </w:rPr>
    </w:lvl>
    <w:lvl w:ilvl="7" w:tplc="97122B2A">
      <w:numFmt w:val="bullet"/>
      <w:lvlText w:val="•"/>
      <w:lvlJc w:val="left"/>
      <w:pPr>
        <w:ind w:left="7706" w:hanging="151"/>
      </w:pPr>
      <w:rPr>
        <w:rFonts w:hint="default"/>
        <w:lang w:val="en-US" w:eastAsia="en-US" w:bidi="ar-SA"/>
      </w:rPr>
    </w:lvl>
    <w:lvl w:ilvl="8" w:tplc="57188DB0">
      <w:numFmt w:val="bullet"/>
      <w:lvlText w:val="•"/>
      <w:lvlJc w:val="left"/>
      <w:pPr>
        <w:ind w:left="8564" w:hanging="151"/>
      </w:pPr>
      <w:rPr>
        <w:rFonts w:hint="default"/>
        <w:lang w:val="en-US" w:eastAsia="en-US" w:bidi="ar-SA"/>
      </w:rPr>
    </w:lvl>
  </w:abstractNum>
  <w:abstractNum w:abstractNumId="4" w15:restartNumberingAfterBreak="0">
    <w:nsid w:val="661917DB"/>
    <w:multiLevelType w:val="hybridMultilevel"/>
    <w:tmpl w:val="D742825E"/>
    <w:lvl w:ilvl="0" w:tplc="B3FEC53C">
      <w:start w:val="1"/>
      <w:numFmt w:val="upperRoman"/>
      <w:lvlText w:val="%1."/>
      <w:lvlJc w:val="left"/>
      <w:pPr>
        <w:ind w:left="820" w:hanging="721"/>
      </w:pPr>
      <w:rPr>
        <w:rFonts w:ascii="Arial" w:eastAsia="Arial" w:hAnsi="Arial" w:cs="Arial" w:hint="default"/>
        <w:b w:val="0"/>
        <w:bCs w:val="0"/>
        <w:i w:val="0"/>
        <w:iCs w:val="0"/>
        <w:spacing w:val="0"/>
        <w:w w:val="100"/>
        <w:sz w:val="24"/>
        <w:szCs w:val="24"/>
        <w:lang w:val="en-US" w:eastAsia="en-US" w:bidi="ar-SA"/>
      </w:rPr>
    </w:lvl>
    <w:lvl w:ilvl="1" w:tplc="0EDAFF46">
      <w:start w:val="1"/>
      <w:numFmt w:val="decimal"/>
      <w:lvlText w:val="%2."/>
      <w:lvlJc w:val="left"/>
      <w:pPr>
        <w:ind w:left="1180" w:hanging="360"/>
      </w:pPr>
      <w:rPr>
        <w:rFonts w:ascii="Arial" w:eastAsia="Arial" w:hAnsi="Arial" w:cs="Arial" w:hint="default"/>
        <w:b w:val="0"/>
        <w:bCs w:val="0"/>
        <w:i w:val="0"/>
        <w:iCs w:val="0"/>
        <w:spacing w:val="0"/>
        <w:w w:val="100"/>
        <w:sz w:val="24"/>
        <w:szCs w:val="24"/>
        <w:lang w:val="en-US" w:eastAsia="en-US" w:bidi="ar-SA"/>
      </w:rPr>
    </w:lvl>
    <w:lvl w:ilvl="2" w:tplc="D6007114">
      <w:numFmt w:val="bullet"/>
      <w:lvlText w:val="•"/>
      <w:lvlJc w:val="left"/>
      <w:pPr>
        <w:ind w:left="2191" w:hanging="360"/>
      </w:pPr>
      <w:rPr>
        <w:rFonts w:hint="default"/>
        <w:lang w:val="en-US" w:eastAsia="en-US" w:bidi="ar-SA"/>
      </w:rPr>
    </w:lvl>
    <w:lvl w:ilvl="3" w:tplc="78FE48CC">
      <w:numFmt w:val="bullet"/>
      <w:lvlText w:val="•"/>
      <w:lvlJc w:val="left"/>
      <w:pPr>
        <w:ind w:left="3202" w:hanging="360"/>
      </w:pPr>
      <w:rPr>
        <w:rFonts w:hint="default"/>
        <w:lang w:val="en-US" w:eastAsia="en-US" w:bidi="ar-SA"/>
      </w:rPr>
    </w:lvl>
    <w:lvl w:ilvl="4" w:tplc="07F6C0A2">
      <w:numFmt w:val="bullet"/>
      <w:lvlText w:val="•"/>
      <w:lvlJc w:val="left"/>
      <w:pPr>
        <w:ind w:left="4213" w:hanging="360"/>
      </w:pPr>
      <w:rPr>
        <w:rFonts w:hint="default"/>
        <w:lang w:val="en-US" w:eastAsia="en-US" w:bidi="ar-SA"/>
      </w:rPr>
    </w:lvl>
    <w:lvl w:ilvl="5" w:tplc="7BBEAE82">
      <w:numFmt w:val="bullet"/>
      <w:lvlText w:val="•"/>
      <w:lvlJc w:val="left"/>
      <w:pPr>
        <w:ind w:left="5224" w:hanging="360"/>
      </w:pPr>
      <w:rPr>
        <w:rFonts w:hint="default"/>
        <w:lang w:val="en-US" w:eastAsia="en-US" w:bidi="ar-SA"/>
      </w:rPr>
    </w:lvl>
    <w:lvl w:ilvl="6" w:tplc="1F58F2DC">
      <w:numFmt w:val="bullet"/>
      <w:lvlText w:val="•"/>
      <w:lvlJc w:val="left"/>
      <w:pPr>
        <w:ind w:left="6235" w:hanging="360"/>
      </w:pPr>
      <w:rPr>
        <w:rFonts w:hint="default"/>
        <w:lang w:val="en-US" w:eastAsia="en-US" w:bidi="ar-SA"/>
      </w:rPr>
    </w:lvl>
    <w:lvl w:ilvl="7" w:tplc="69D6AFB6">
      <w:numFmt w:val="bullet"/>
      <w:lvlText w:val="•"/>
      <w:lvlJc w:val="left"/>
      <w:pPr>
        <w:ind w:left="7246" w:hanging="360"/>
      </w:pPr>
      <w:rPr>
        <w:rFonts w:hint="default"/>
        <w:lang w:val="en-US" w:eastAsia="en-US" w:bidi="ar-SA"/>
      </w:rPr>
    </w:lvl>
    <w:lvl w:ilvl="8" w:tplc="47AE2B3C">
      <w:numFmt w:val="bullet"/>
      <w:lvlText w:val="•"/>
      <w:lvlJc w:val="left"/>
      <w:pPr>
        <w:ind w:left="8257" w:hanging="360"/>
      </w:pPr>
      <w:rPr>
        <w:rFonts w:hint="default"/>
        <w:lang w:val="en-US" w:eastAsia="en-US" w:bidi="ar-SA"/>
      </w:rPr>
    </w:lvl>
  </w:abstractNum>
  <w:abstractNum w:abstractNumId="5" w15:restartNumberingAfterBreak="0">
    <w:nsid w:val="6B834163"/>
    <w:multiLevelType w:val="hybridMultilevel"/>
    <w:tmpl w:val="B6BA9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B64D1"/>
    <w:multiLevelType w:val="hybridMultilevel"/>
    <w:tmpl w:val="749284E4"/>
    <w:lvl w:ilvl="0" w:tplc="8F588B2A">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2679B4"/>
    <w:multiLevelType w:val="hybridMultilevel"/>
    <w:tmpl w:val="A5321A34"/>
    <w:lvl w:ilvl="0" w:tplc="F0BC1D6C">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5907688"/>
    <w:multiLevelType w:val="hybridMultilevel"/>
    <w:tmpl w:val="4176A078"/>
    <w:lvl w:ilvl="0" w:tplc="8CDC567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B42EB5CE">
      <w:numFmt w:val="bullet"/>
      <w:lvlText w:val="•"/>
      <w:lvlJc w:val="left"/>
      <w:pPr>
        <w:ind w:left="1766" w:hanging="360"/>
      </w:pPr>
      <w:rPr>
        <w:rFonts w:hint="default"/>
        <w:lang w:val="en-US" w:eastAsia="en-US" w:bidi="ar-SA"/>
      </w:rPr>
    </w:lvl>
    <w:lvl w:ilvl="2" w:tplc="299491C4">
      <w:numFmt w:val="bullet"/>
      <w:lvlText w:val="•"/>
      <w:lvlJc w:val="left"/>
      <w:pPr>
        <w:ind w:left="2712" w:hanging="360"/>
      </w:pPr>
      <w:rPr>
        <w:rFonts w:hint="default"/>
        <w:lang w:val="en-US" w:eastAsia="en-US" w:bidi="ar-SA"/>
      </w:rPr>
    </w:lvl>
    <w:lvl w:ilvl="3" w:tplc="6FBA9510">
      <w:numFmt w:val="bullet"/>
      <w:lvlText w:val="•"/>
      <w:lvlJc w:val="left"/>
      <w:pPr>
        <w:ind w:left="3658" w:hanging="360"/>
      </w:pPr>
      <w:rPr>
        <w:rFonts w:hint="default"/>
        <w:lang w:val="en-US" w:eastAsia="en-US" w:bidi="ar-SA"/>
      </w:rPr>
    </w:lvl>
    <w:lvl w:ilvl="4" w:tplc="3402A660">
      <w:numFmt w:val="bullet"/>
      <w:lvlText w:val="•"/>
      <w:lvlJc w:val="left"/>
      <w:pPr>
        <w:ind w:left="4604" w:hanging="360"/>
      </w:pPr>
      <w:rPr>
        <w:rFonts w:hint="default"/>
        <w:lang w:val="en-US" w:eastAsia="en-US" w:bidi="ar-SA"/>
      </w:rPr>
    </w:lvl>
    <w:lvl w:ilvl="5" w:tplc="1F6A9C9C">
      <w:numFmt w:val="bullet"/>
      <w:lvlText w:val="•"/>
      <w:lvlJc w:val="left"/>
      <w:pPr>
        <w:ind w:left="5550" w:hanging="360"/>
      </w:pPr>
      <w:rPr>
        <w:rFonts w:hint="default"/>
        <w:lang w:val="en-US" w:eastAsia="en-US" w:bidi="ar-SA"/>
      </w:rPr>
    </w:lvl>
    <w:lvl w:ilvl="6" w:tplc="8A8816EA">
      <w:numFmt w:val="bullet"/>
      <w:lvlText w:val="•"/>
      <w:lvlJc w:val="left"/>
      <w:pPr>
        <w:ind w:left="6496" w:hanging="360"/>
      </w:pPr>
      <w:rPr>
        <w:rFonts w:hint="default"/>
        <w:lang w:val="en-US" w:eastAsia="en-US" w:bidi="ar-SA"/>
      </w:rPr>
    </w:lvl>
    <w:lvl w:ilvl="7" w:tplc="61767FF2">
      <w:numFmt w:val="bullet"/>
      <w:lvlText w:val="•"/>
      <w:lvlJc w:val="left"/>
      <w:pPr>
        <w:ind w:left="7442" w:hanging="360"/>
      </w:pPr>
      <w:rPr>
        <w:rFonts w:hint="default"/>
        <w:lang w:val="en-US" w:eastAsia="en-US" w:bidi="ar-SA"/>
      </w:rPr>
    </w:lvl>
    <w:lvl w:ilvl="8" w:tplc="D5885F98">
      <w:numFmt w:val="bullet"/>
      <w:lvlText w:val="•"/>
      <w:lvlJc w:val="left"/>
      <w:pPr>
        <w:ind w:left="8388" w:hanging="360"/>
      </w:pPr>
      <w:rPr>
        <w:rFonts w:hint="default"/>
        <w:lang w:val="en-US" w:eastAsia="en-US" w:bidi="ar-SA"/>
      </w:rPr>
    </w:lvl>
  </w:abstractNum>
  <w:abstractNum w:abstractNumId="9" w15:restartNumberingAfterBreak="0">
    <w:nsid w:val="78B05847"/>
    <w:multiLevelType w:val="hybridMultilevel"/>
    <w:tmpl w:val="A3800118"/>
    <w:lvl w:ilvl="0" w:tplc="392A8590">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6E5AD130">
      <w:numFmt w:val="bullet"/>
      <w:lvlText w:val="•"/>
      <w:lvlJc w:val="left"/>
      <w:pPr>
        <w:ind w:left="1766" w:hanging="360"/>
      </w:pPr>
      <w:rPr>
        <w:rFonts w:hint="default"/>
        <w:lang w:val="en-US" w:eastAsia="en-US" w:bidi="ar-SA"/>
      </w:rPr>
    </w:lvl>
    <w:lvl w:ilvl="2" w:tplc="95CADF8A">
      <w:numFmt w:val="bullet"/>
      <w:lvlText w:val="•"/>
      <w:lvlJc w:val="left"/>
      <w:pPr>
        <w:ind w:left="2712" w:hanging="360"/>
      </w:pPr>
      <w:rPr>
        <w:rFonts w:hint="default"/>
        <w:lang w:val="en-US" w:eastAsia="en-US" w:bidi="ar-SA"/>
      </w:rPr>
    </w:lvl>
    <w:lvl w:ilvl="3" w:tplc="7480DC62">
      <w:numFmt w:val="bullet"/>
      <w:lvlText w:val="•"/>
      <w:lvlJc w:val="left"/>
      <w:pPr>
        <w:ind w:left="3658" w:hanging="360"/>
      </w:pPr>
      <w:rPr>
        <w:rFonts w:hint="default"/>
        <w:lang w:val="en-US" w:eastAsia="en-US" w:bidi="ar-SA"/>
      </w:rPr>
    </w:lvl>
    <w:lvl w:ilvl="4" w:tplc="33FC99D2">
      <w:numFmt w:val="bullet"/>
      <w:lvlText w:val="•"/>
      <w:lvlJc w:val="left"/>
      <w:pPr>
        <w:ind w:left="4604" w:hanging="360"/>
      </w:pPr>
      <w:rPr>
        <w:rFonts w:hint="default"/>
        <w:lang w:val="en-US" w:eastAsia="en-US" w:bidi="ar-SA"/>
      </w:rPr>
    </w:lvl>
    <w:lvl w:ilvl="5" w:tplc="9BB055C8">
      <w:numFmt w:val="bullet"/>
      <w:lvlText w:val="•"/>
      <w:lvlJc w:val="left"/>
      <w:pPr>
        <w:ind w:left="5550" w:hanging="360"/>
      </w:pPr>
      <w:rPr>
        <w:rFonts w:hint="default"/>
        <w:lang w:val="en-US" w:eastAsia="en-US" w:bidi="ar-SA"/>
      </w:rPr>
    </w:lvl>
    <w:lvl w:ilvl="6" w:tplc="36500394">
      <w:numFmt w:val="bullet"/>
      <w:lvlText w:val="•"/>
      <w:lvlJc w:val="left"/>
      <w:pPr>
        <w:ind w:left="6496" w:hanging="360"/>
      </w:pPr>
      <w:rPr>
        <w:rFonts w:hint="default"/>
        <w:lang w:val="en-US" w:eastAsia="en-US" w:bidi="ar-SA"/>
      </w:rPr>
    </w:lvl>
    <w:lvl w:ilvl="7" w:tplc="7FFEC192">
      <w:numFmt w:val="bullet"/>
      <w:lvlText w:val="•"/>
      <w:lvlJc w:val="left"/>
      <w:pPr>
        <w:ind w:left="7442" w:hanging="360"/>
      </w:pPr>
      <w:rPr>
        <w:rFonts w:hint="default"/>
        <w:lang w:val="en-US" w:eastAsia="en-US" w:bidi="ar-SA"/>
      </w:rPr>
    </w:lvl>
    <w:lvl w:ilvl="8" w:tplc="A746D964">
      <w:numFmt w:val="bullet"/>
      <w:lvlText w:val="•"/>
      <w:lvlJc w:val="left"/>
      <w:pPr>
        <w:ind w:left="8388" w:hanging="360"/>
      </w:pPr>
      <w:rPr>
        <w:rFonts w:hint="default"/>
        <w:lang w:val="en-US" w:eastAsia="en-US" w:bidi="ar-SA"/>
      </w:rPr>
    </w:lvl>
  </w:abstractNum>
  <w:num w:numId="1" w16cid:durableId="365719941">
    <w:abstractNumId w:val="4"/>
  </w:num>
  <w:num w:numId="2" w16cid:durableId="1289243420">
    <w:abstractNumId w:val="8"/>
  </w:num>
  <w:num w:numId="3" w16cid:durableId="487094716">
    <w:abstractNumId w:val="9"/>
  </w:num>
  <w:num w:numId="4" w16cid:durableId="908618599">
    <w:abstractNumId w:val="3"/>
  </w:num>
  <w:num w:numId="5" w16cid:durableId="1439838702">
    <w:abstractNumId w:val="0"/>
  </w:num>
  <w:num w:numId="6" w16cid:durableId="1657536603">
    <w:abstractNumId w:val="2"/>
  </w:num>
  <w:num w:numId="7" w16cid:durableId="132721855">
    <w:abstractNumId w:val="6"/>
  </w:num>
  <w:num w:numId="8" w16cid:durableId="1288047978">
    <w:abstractNumId w:val="7"/>
  </w:num>
  <w:num w:numId="9" w16cid:durableId="348675823">
    <w:abstractNumId w:val="5"/>
  </w:num>
  <w:num w:numId="10" w16cid:durableId="157293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05"/>
    <w:rsid w:val="00017269"/>
    <w:rsid w:val="000A03C2"/>
    <w:rsid w:val="002530FC"/>
    <w:rsid w:val="002B771F"/>
    <w:rsid w:val="003F6E40"/>
    <w:rsid w:val="00575F71"/>
    <w:rsid w:val="0070430C"/>
    <w:rsid w:val="00710786"/>
    <w:rsid w:val="007B3CDD"/>
    <w:rsid w:val="0080327C"/>
    <w:rsid w:val="008C3E28"/>
    <w:rsid w:val="009911FD"/>
    <w:rsid w:val="009B441D"/>
    <w:rsid w:val="009E60BF"/>
    <w:rsid w:val="00A53C66"/>
    <w:rsid w:val="00B27A89"/>
    <w:rsid w:val="00B637D5"/>
    <w:rsid w:val="00BA7962"/>
    <w:rsid w:val="00BE2FA5"/>
    <w:rsid w:val="00C00E05"/>
    <w:rsid w:val="00D658CC"/>
    <w:rsid w:val="00DE2AC1"/>
    <w:rsid w:val="00E272A9"/>
    <w:rsid w:val="00EF038D"/>
    <w:rsid w:val="00F6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4C3C"/>
  <w15:docId w15:val="{DA925021-C6D6-4C7D-9353-6A9BB4FA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4">
    <w:name w:val="heading 4"/>
    <w:basedOn w:val="Normal"/>
    <w:next w:val="Normal"/>
    <w:link w:val="Heading4Char"/>
    <w:uiPriority w:val="9"/>
    <w:unhideWhenUsed/>
    <w:qFormat/>
    <w:rsid w:val="00E272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jc w:val="center"/>
    </w:pPr>
    <w:rPr>
      <w:b/>
      <w:bCs/>
      <w:sz w:val="36"/>
      <w:szCs w:val="36"/>
    </w:rPr>
  </w:style>
  <w:style w:type="paragraph" w:styleId="ListParagraph">
    <w:name w:val="List Paragraph"/>
    <w:basedOn w:val="Normal"/>
    <w:uiPriority w:val="1"/>
    <w:qFormat/>
    <w:pPr>
      <w:spacing w:before="26"/>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786"/>
    <w:pPr>
      <w:tabs>
        <w:tab w:val="center" w:pos="4680"/>
        <w:tab w:val="right" w:pos="9360"/>
      </w:tabs>
    </w:pPr>
  </w:style>
  <w:style w:type="character" w:customStyle="1" w:styleId="HeaderChar">
    <w:name w:val="Header Char"/>
    <w:basedOn w:val="DefaultParagraphFont"/>
    <w:link w:val="Header"/>
    <w:uiPriority w:val="99"/>
    <w:rsid w:val="00710786"/>
    <w:rPr>
      <w:rFonts w:ascii="Arial" w:eastAsia="Arial" w:hAnsi="Arial" w:cs="Arial"/>
    </w:rPr>
  </w:style>
  <w:style w:type="paragraph" w:styleId="Footer">
    <w:name w:val="footer"/>
    <w:basedOn w:val="Normal"/>
    <w:link w:val="FooterChar"/>
    <w:uiPriority w:val="99"/>
    <w:unhideWhenUsed/>
    <w:rsid w:val="00710786"/>
    <w:pPr>
      <w:tabs>
        <w:tab w:val="center" w:pos="4680"/>
        <w:tab w:val="right" w:pos="9360"/>
      </w:tabs>
    </w:pPr>
  </w:style>
  <w:style w:type="character" w:customStyle="1" w:styleId="FooterChar">
    <w:name w:val="Footer Char"/>
    <w:basedOn w:val="DefaultParagraphFont"/>
    <w:link w:val="Footer"/>
    <w:uiPriority w:val="99"/>
    <w:rsid w:val="00710786"/>
    <w:rPr>
      <w:rFonts w:ascii="Arial" w:eastAsia="Arial" w:hAnsi="Arial" w:cs="Arial"/>
    </w:rPr>
  </w:style>
  <w:style w:type="character" w:styleId="CommentReference">
    <w:name w:val="annotation reference"/>
    <w:basedOn w:val="DefaultParagraphFont"/>
    <w:uiPriority w:val="99"/>
    <w:semiHidden/>
    <w:unhideWhenUsed/>
    <w:rsid w:val="00D658CC"/>
    <w:rPr>
      <w:sz w:val="16"/>
      <w:szCs w:val="16"/>
    </w:rPr>
  </w:style>
  <w:style w:type="paragraph" w:styleId="CommentText">
    <w:name w:val="annotation text"/>
    <w:basedOn w:val="Normal"/>
    <w:link w:val="CommentTextChar"/>
    <w:uiPriority w:val="99"/>
    <w:unhideWhenUsed/>
    <w:rsid w:val="00D658CC"/>
    <w:rPr>
      <w:sz w:val="20"/>
      <w:szCs w:val="20"/>
    </w:rPr>
  </w:style>
  <w:style w:type="character" w:customStyle="1" w:styleId="CommentTextChar">
    <w:name w:val="Comment Text Char"/>
    <w:basedOn w:val="DefaultParagraphFont"/>
    <w:link w:val="CommentText"/>
    <w:uiPriority w:val="99"/>
    <w:rsid w:val="00D658C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58CC"/>
    <w:rPr>
      <w:b/>
      <w:bCs/>
    </w:rPr>
  </w:style>
  <w:style w:type="character" w:customStyle="1" w:styleId="CommentSubjectChar">
    <w:name w:val="Comment Subject Char"/>
    <w:basedOn w:val="CommentTextChar"/>
    <w:link w:val="CommentSubject"/>
    <w:uiPriority w:val="99"/>
    <w:semiHidden/>
    <w:rsid w:val="00D658CC"/>
    <w:rPr>
      <w:rFonts w:ascii="Arial" w:eastAsia="Arial" w:hAnsi="Arial" w:cs="Arial"/>
      <w:b/>
      <w:bCs/>
      <w:sz w:val="20"/>
      <w:szCs w:val="20"/>
    </w:rPr>
  </w:style>
  <w:style w:type="paragraph" w:styleId="Revision">
    <w:name w:val="Revision"/>
    <w:hidden/>
    <w:uiPriority w:val="99"/>
    <w:semiHidden/>
    <w:rsid w:val="00B27A89"/>
    <w:pPr>
      <w:widowControl/>
      <w:autoSpaceDE/>
      <w:autoSpaceDN/>
    </w:pPr>
    <w:rPr>
      <w:rFonts w:ascii="Arial" w:eastAsia="Arial" w:hAnsi="Arial" w:cs="Arial"/>
    </w:rPr>
  </w:style>
  <w:style w:type="paragraph" w:customStyle="1" w:styleId="Level2RFA">
    <w:name w:val="Level 2 RFA"/>
    <w:basedOn w:val="ListParagraph"/>
    <w:link w:val="Level2RFAChar"/>
    <w:qFormat/>
    <w:rsid w:val="00E272A9"/>
    <w:pPr>
      <w:widowControl/>
      <w:numPr>
        <w:numId w:val="5"/>
      </w:numPr>
      <w:autoSpaceDE/>
      <w:autoSpaceDN/>
      <w:spacing w:before="0" w:line="360" w:lineRule="auto"/>
      <w:contextualSpacing/>
    </w:pPr>
    <w:rPr>
      <w:rFonts w:eastAsiaTheme="minorHAnsi"/>
      <w:sz w:val="24"/>
      <w:szCs w:val="24"/>
    </w:rPr>
  </w:style>
  <w:style w:type="character" w:customStyle="1" w:styleId="Level2RFAChar">
    <w:name w:val="Level 2 RFA Char"/>
    <w:basedOn w:val="DefaultParagraphFont"/>
    <w:link w:val="Level2RFA"/>
    <w:rsid w:val="00E272A9"/>
    <w:rPr>
      <w:rFonts w:ascii="Arial" w:hAnsi="Arial" w:cs="Arial"/>
      <w:sz w:val="24"/>
      <w:szCs w:val="24"/>
    </w:rPr>
  </w:style>
  <w:style w:type="paragraph" w:customStyle="1" w:styleId="ParagraphRFA">
    <w:name w:val="Paragraph RFA"/>
    <w:basedOn w:val="Level2RFA"/>
    <w:link w:val="ParagraphRFAChar"/>
    <w:qFormat/>
    <w:rsid w:val="00E272A9"/>
    <w:pPr>
      <w:numPr>
        <w:numId w:val="0"/>
      </w:numPr>
      <w:spacing w:line="240" w:lineRule="auto"/>
    </w:pPr>
  </w:style>
  <w:style w:type="character" w:customStyle="1" w:styleId="ParagraphRFAChar">
    <w:name w:val="Paragraph RFA Char"/>
    <w:basedOn w:val="Level2RFAChar"/>
    <w:link w:val="ParagraphRFA"/>
    <w:rsid w:val="00E272A9"/>
    <w:rPr>
      <w:rFonts w:ascii="Arial" w:hAnsi="Arial" w:cs="Arial"/>
      <w:sz w:val="24"/>
      <w:szCs w:val="24"/>
    </w:rPr>
  </w:style>
  <w:style w:type="paragraph" w:styleId="FootnoteText">
    <w:name w:val="footnote text"/>
    <w:basedOn w:val="Normal"/>
    <w:link w:val="FootnoteTextChar"/>
    <w:uiPriority w:val="99"/>
    <w:semiHidden/>
    <w:unhideWhenUsed/>
    <w:rsid w:val="00E272A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72A9"/>
    <w:rPr>
      <w:sz w:val="20"/>
      <w:szCs w:val="20"/>
    </w:rPr>
  </w:style>
  <w:style w:type="character" w:styleId="FootnoteReference">
    <w:name w:val="footnote reference"/>
    <w:basedOn w:val="DefaultParagraphFont"/>
    <w:uiPriority w:val="99"/>
    <w:unhideWhenUsed/>
    <w:rsid w:val="00E272A9"/>
    <w:rPr>
      <w:vertAlign w:val="superscript"/>
    </w:rPr>
  </w:style>
  <w:style w:type="paragraph" w:customStyle="1" w:styleId="RFAnumberedparagraph">
    <w:name w:val="RFA numbered paragraph"/>
    <w:basedOn w:val="ParagraphRFA"/>
    <w:link w:val="RFAnumberedparagraphChar"/>
    <w:qFormat/>
    <w:rsid w:val="00E272A9"/>
    <w:pPr>
      <w:ind w:left="1080"/>
    </w:pPr>
  </w:style>
  <w:style w:type="character" w:customStyle="1" w:styleId="RFAnumberedparagraphChar">
    <w:name w:val="RFA numbered paragraph Char"/>
    <w:basedOn w:val="ParagraphRFAChar"/>
    <w:link w:val="RFAnumberedparagraph"/>
    <w:rsid w:val="00E272A9"/>
    <w:rPr>
      <w:rFonts w:ascii="Arial" w:hAnsi="Arial" w:cs="Arial"/>
      <w:sz w:val="24"/>
      <w:szCs w:val="24"/>
    </w:rPr>
  </w:style>
  <w:style w:type="character" w:customStyle="1" w:styleId="Heading4Char">
    <w:name w:val="Heading 4 Char"/>
    <w:basedOn w:val="DefaultParagraphFont"/>
    <w:link w:val="Heading4"/>
    <w:uiPriority w:val="9"/>
    <w:rsid w:val="00E272A9"/>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E272A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38D"/>
    <w:rPr>
      <w:color w:val="0000FF" w:themeColor="hyperlink"/>
      <w:u w:val="single"/>
    </w:rPr>
  </w:style>
  <w:style w:type="character" w:styleId="UnresolvedMention">
    <w:name w:val="Unresolved Mention"/>
    <w:basedOn w:val="DefaultParagraphFont"/>
    <w:uiPriority w:val="99"/>
    <w:semiHidden/>
    <w:unhideWhenUsed/>
    <w:rsid w:val="00EF0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vr.vrPRE-ETSRACRP@dhhs.nc.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dhhs.gov/pre-ets-standard-milestone-selection-page/op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hhs.gov/3-pre-ets-racrp-1062cover-page/op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dhhs.gov/pre-ets-application-community-rehabilitation-partnership/open" TargetMode="External"/><Relationship Id="rId4" Type="http://schemas.openxmlformats.org/officeDocument/2006/relationships/webSettings" Target="webSettings.xml"/><Relationship Id="rId9" Type="http://schemas.openxmlformats.org/officeDocument/2006/relationships/hyperlink" Target="https://www.ncdhhs.gov/pre-ets-renewal-application-community-rehabilitation-partnership/open" TargetMode="External"/><Relationship Id="rId14" Type="http://schemas.openxmlformats.org/officeDocument/2006/relationships/hyperlink" Target="https://www.ncdhhs.gov/pre-ets-request-applications-community-rehabilitation-partnership-racrp-1062/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awatry</dc:creator>
  <cp:lastModifiedBy>Booth, John</cp:lastModifiedBy>
  <cp:revision>3</cp:revision>
  <dcterms:created xsi:type="dcterms:W3CDTF">2024-04-24T21:25:00Z</dcterms:created>
  <dcterms:modified xsi:type="dcterms:W3CDTF">2024-04-24T21:32:00Z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2021-03-31T00:00:00Z</vt:filetime>
  </property>
  <property fmtid="{D5CDD505-2E9C-101B-9397-08002B2CF9AE}" pid="4" name="DocuSignConversionCorrelationToken">
    <vt:lpwstr>0ec11180-38ef-4b3c-b21b-20956354de19</vt:lpwstr>
  </property>
  <property fmtid="{D5CDD505-2E9C-101B-9397-08002B2CF9AE}" pid="5" name="LastSaved">
    <vt:filetime>2024-02-26T00:00:00Z</vt:filetime>
  </property>
  <property fmtid="{D5CDD505-2E9C-101B-9397-08002B2CF9AE}" pid="6" name="Producer">
    <vt:lpwstr>PDFKit.NET 21.1.100.19985</vt:lpwstr>
  </property>
</Properties>
</file>