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61BB9" w:rsidTr="002903C0">
        <w:tc>
          <w:tcPr>
            <w:tcW w:w="5000" w:type="pct"/>
            <w:shd w:val="clear" w:color="auto" w:fill="F6F6F6"/>
            <w:tcMar>
              <w:top w:w="225" w:type="dxa"/>
              <w:left w:w="0" w:type="dxa"/>
              <w:bottom w:w="225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61BB9">
              <w:tc>
                <w:tcPr>
                  <w:tcW w:w="5000" w:type="pct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1B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55" w:type="dxa"/>
                          <w:left w:w="120" w:type="dxa"/>
                          <w:bottom w:w="255" w:type="dxa"/>
                          <w:right w:w="12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"/>
                          <w:gridCol w:w="8520"/>
                          <w:gridCol w:w="120"/>
                        </w:tblGrid>
                        <w:tr w:rsidR="00F61BB9"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2903C0" w:rsidRDefault="00BF0D10">
                              <w:pPr>
                                <w:spacing w:line="0" w:lineRule="auto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4806958" name="Picture 1" descr="https://ui.icontact.com/assets/1p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52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20"/>
                              </w:tblGrid>
                              <w:tr w:rsidR="00F61BB9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20"/>
                                    </w:tblGrid>
                                    <w:tr w:rsidR="00F61BB9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2903C0" w:rsidRDefault="00BF0D10"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>
                                                <wp:extent cx="5410200" cy="1676400"/>
                                                <wp:effectExtent l="0" t="0" r="0" b="0"/>
                                                <wp:docPr id="8" name="Picture 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255775978" name="Picture 2" descr="Office of Governor Roy Cooper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10200" cy="16764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03C0" w:rsidRDefault="002903C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03C0" w:rsidRDefault="002903C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0" w:type="dxa"/>
                              <w:vAlign w:val="center"/>
                              <w:hideMark/>
                            </w:tcPr>
                            <w:p w:rsidR="002903C0" w:rsidRDefault="00BF0D10">
                              <w:pPr>
                                <w:spacing w:line="0" w:lineRule="auto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32518051" name="Picture 3" descr="https://ui.icontact.com/assets/1p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03C0" w:rsidRDefault="002903C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03C0" w:rsidRDefault="002903C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903C0" w:rsidRDefault="002903C0">
            <w:pPr>
              <w:rPr>
                <w:rFonts w:ascii="Roboto" w:hAnsi="Roboto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61BB9">
              <w:tc>
                <w:tcPr>
                  <w:tcW w:w="5000" w:type="pct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1B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225" w:type="dxa"/>
                          <w:bottom w:w="30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"/>
                          <w:gridCol w:w="8100"/>
                          <w:gridCol w:w="225"/>
                        </w:tblGrid>
                        <w:tr w:rsidR="00F61BB9"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2903C0" w:rsidRDefault="00BF0D10">
                              <w:pPr>
                                <w:spacing w:line="0" w:lineRule="auto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66171239" name="Picture 4" descr="https://ui.icontact.com/assets/1p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100" w:type="dxa"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F61BB9" w:rsidRPr="00567F4D"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2903C0" w:rsidRPr="00567F4D" w:rsidRDefault="00BF0D10">
                                    <w:pPr>
                                      <w:pStyle w:val="NormalWeb"/>
                                      <w:spacing w:line="270" w:lineRule="atLeast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PARA PUBLICACI</w:t>
                                    </w:r>
                                    <w:r w:rsidR="00567F4D">
                                      <w:rPr>
                                        <w:rFonts w:ascii="Roboto" w:eastAsia="Roboto" w:hAnsi="Roboto" w:hint="cs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N INMEDIATA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paragraph-spacing-none"/>
                                      <w:spacing w:line="270" w:lineRule="atLeast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Marzo10, 2020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paragraph-spacing-none"/>
                                      <w:spacing w:line="270" w:lineRule="atLeast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Teléfono: 919-814-2100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paragraph-spacing-none"/>
                                      <w:spacing w:line="270" w:lineRule="atLeast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Correo electrónico: </w:t>
                                    </w:r>
                                    <w:hyperlink r:id="rId7" w:history="1">
                                      <w:r>
                                        <w:rPr>
                                          <w:rFonts w:ascii="Roboto" w:eastAsia="Roboto" w:hAnsi="Roboto"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  <w:lang w:val="es-ES_tradnl"/>
                                        </w:rPr>
                                        <w:t>govpress@nc.gov</w:t>
                                      </w:r>
                                    </w:hyperlink>
                                  </w:p>
                                  <w:p w:rsidR="002903C0" w:rsidRPr="00567F4D" w:rsidRDefault="002903C0">
                                    <w:pPr>
                                      <w:pStyle w:val="NormalWeb"/>
                                      <w:spacing w:before="240" w:beforeAutospacing="0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color w:val="333333"/>
                                        <w:sz w:val="23"/>
                                        <w:szCs w:val="23"/>
                                        <w:lang w:val="es-ES_tradnl"/>
                                      </w:rPr>
                                      <w:t xml:space="preserve">El Gobernador Cooper </w:t>
                                    </w:r>
                                    <w:r w:rsidR="00567F4D">
                                      <w:rPr>
                                        <w:rStyle w:val="Strong"/>
                                        <w:rFonts w:ascii="Roboto" w:eastAsia="Roboto" w:hAnsi="Roboto"/>
                                        <w:color w:val="333333"/>
                                        <w:sz w:val="23"/>
                                        <w:szCs w:val="23"/>
                                        <w:lang w:val="es-ES_tradnl"/>
                                      </w:rPr>
                                      <w:t>d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color w:val="333333"/>
                                        <w:sz w:val="23"/>
                                        <w:szCs w:val="23"/>
                                        <w:lang w:val="es-ES_tradnl"/>
                                      </w:rPr>
                                      <w:t>eclara Estado de Emergencia en respuesta al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paragraph-spacing-none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color w:val="333333"/>
                                        <w:sz w:val="23"/>
                                        <w:szCs w:val="23"/>
                                        <w:lang w:val="es-ES_tradnl"/>
                                      </w:rPr>
                                      <w:t xml:space="preserve">coronavirus </w:t>
                                    </w:r>
                                    <w:r w:rsidRPr="00567F4D">
                                      <w:rPr>
                                        <w:rStyle w:val="Strong"/>
                                        <w:rFonts w:ascii="Roboto" w:eastAsia="Roboto" w:hAnsi="Roboto"/>
                                        <w:i/>
                                        <w:color w:val="333333"/>
                                        <w:sz w:val="23"/>
                                        <w:szCs w:val="23"/>
                                        <w:lang w:val="es-ES_tradnl"/>
                                      </w:rPr>
                                      <w:t>COVID-19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rFonts w:ascii="Roboto" w:eastAsia="Roboto" w:hAnsi="Roboto"/>
                                        <w:color w:val="333333"/>
                                        <w:sz w:val="23"/>
                                        <w:szCs w:val="23"/>
                                        <w:lang w:val="es-ES_tradnl"/>
                                      </w:rPr>
                                      <w:t xml:space="preserve">Puede leer la Orden Ejecutiva No. 116 aquí </w:t>
                                    </w:r>
                                    <w:hyperlink r:id="rId8" w:tgtFrame="_blank" w:history="1">
                                      <w:r>
                                        <w:rPr>
                                          <w:rStyle w:val="Emphasis"/>
                                          <w:rFonts w:ascii="Roboto" w:eastAsia="Roboto" w:hAnsi="Roboto"/>
                                          <w:color w:val="0000EE"/>
                                          <w:sz w:val="23"/>
                                          <w:szCs w:val="23"/>
                                          <w:u w:val="single"/>
                                          <w:lang w:val="es-ES_tradnl"/>
                                        </w:rPr>
                                        <w:t>HERE</w:t>
                                      </w:r>
                                    </w:hyperlink>
                                  </w:p>
                                  <w:p w:rsidR="002903C0" w:rsidRDefault="00BF0D10">
                                    <w:pPr>
                                      <w:pStyle w:val="NormalWeb"/>
                                      <w:spacing w:before="240" w:beforeAutospacing="0"/>
                                      <w:jc w:val="center"/>
                                      <w:rPr>
                                        <w:rStyle w:val="Emphasis"/>
                                        <w:rFonts w:ascii="Roboto" w:eastAsia="Roboto" w:hAnsi="Roboto"/>
                                        <w:color w:val="333333"/>
                                        <w:sz w:val="23"/>
                                        <w:szCs w:val="23"/>
                                        <w:lang w:val="es-ES_tradnl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rFonts w:ascii="Roboto" w:eastAsia="Roboto" w:hAnsi="Roboto"/>
                                        <w:color w:val="333333"/>
                                        <w:sz w:val="23"/>
                                        <w:szCs w:val="23"/>
                                        <w:lang w:val="es-ES_tradnl"/>
                                      </w:rPr>
                                      <w:t xml:space="preserve">El Departamento de Salud </w:t>
                                    </w:r>
                                    <w:r>
                                      <w:rPr>
                                        <w:rStyle w:val="Emphasis"/>
                                        <w:rFonts w:ascii="Roboto" w:eastAsia="Roboto" w:hAnsi="Roboto"/>
                                        <w:color w:val="333333"/>
                                        <w:sz w:val="23"/>
                                        <w:szCs w:val="23"/>
                                        <w:lang w:val="es-ES_tradnl"/>
                                      </w:rPr>
                                      <w:t>y Servicios Humanos emite las recomendaciones contra una lenta propagación</w:t>
                                    </w:r>
                                  </w:p>
                                  <w:p w:rsidR="00567F4D" w:rsidRPr="00567F4D" w:rsidRDefault="00567F4D">
                                    <w:pPr>
                                      <w:pStyle w:val="NormalWeb"/>
                                      <w:spacing w:before="240" w:beforeAutospacing="0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03C0" w:rsidRDefault="002903C0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F61BB9"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2903C0" w:rsidRPr="00567F4D" w:rsidRDefault="00BF0D10">
                                    <w:pPr>
                                      <w:pStyle w:val="NormalWeb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RALEIGH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b w:val="0"/>
                                        <w:bCs w:val="0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: El día de hoy, e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b w:val="0"/>
                                        <w:bCs w:val="0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l Gobernador Cooper dio el siguiente paso de preparación del plan est</w:t>
                                    </w:r>
                                    <w:r w:rsidR="00567F4D">
                                      <w:rPr>
                                        <w:rStyle w:val="Strong"/>
                                        <w:rFonts w:ascii="Roboto" w:eastAsia="Roboto" w:hAnsi="Roboto"/>
                                        <w:b w:val="0"/>
                                        <w:bCs w:val="0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atal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b w:val="0"/>
                                        <w:bCs w:val="0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contra el COVID-19 y emitió una orden ejecutiva declarando estado de emergencia. La </w:t>
                                    </w:r>
                                    <w:r w:rsidR="00567F4D">
                                      <w:rPr>
                                        <w:rStyle w:val="Strong"/>
                                        <w:rFonts w:ascii="Roboto" w:eastAsia="Roboto" w:hAnsi="Roboto"/>
                                        <w:b w:val="0"/>
                                        <w:bCs w:val="0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D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b w:val="0"/>
                                        <w:bCs w:val="0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eclaración activa el Centro de Operaciones de Emergencia para ayudar a las agencias a coordinar de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b w:val="0"/>
                                        <w:bCs w:val="0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sde un </w:t>
                                    </w:r>
                                    <w:r w:rsidR="00567F4D">
                                      <w:rPr>
                                        <w:rStyle w:val="Strong"/>
                                        <w:rFonts w:ascii="Roboto" w:eastAsia="Roboto" w:hAnsi="Roboto"/>
                                        <w:b w:val="0"/>
                                        <w:bCs w:val="0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solo 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b w:val="0"/>
                                        <w:bCs w:val="0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sitio; además, facilita la compra de abastecimientos médicos, protege a los consumidores contra la especulación de precios y aumenta el acceso de los departamentos de salud de los condados a los fondos estatales.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Además de la </w:t>
                                    </w:r>
                                    <w:r w:rsidR="00550262"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eclaración de </w:t>
                                    </w:r>
                                    <w:r w:rsidR="00550262"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mergencia del </w:t>
                                    </w:r>
                                    <w:r w:rsidR="00550262"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obernador Cooper, el Departamento de Salud y Servicios Humanos de Carolina del Norte (</w:t>
                                    </w:r>
                                    <w:r w:rsidRPr="00567F4D">
                                      <w:rPr>
                                        <w:rFonts w:ascii="Roboto" w:eastAsia="Roboto" w:hAnsi="Roboto"/>
                                        <w:i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NC DHHS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, por sus siglas en inglés) está haciendo varias recomendaciones contra una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lenta propagación del COVID-19 y </w:t>
                                    </w:r>
                                    <w:r w:rsidR="00550262"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para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reducir la cantidad de personas infectadas.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“La salud y seguridad de los habitantes de Carolina del Norte es nuestra principal prioridad. Estamos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dando los pasos necesarios para asegurar que Carolina del Norte esté preparada y responda ante el virus; esta Orden nos ayuda a lograrlo,” expresó el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lastRenderedPageBreak/>
                                      <w:t>Gobernador</w:t>
                                    </w:r>
                                    <w:r w:rsidR="00550262"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Cooper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. “Aunque en Carolina del Norte todavía estamos en las etapas tempranas, el tiempo es un valioso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recurso y debemos trabajar juntos para frenar la propagación mientras podamos.”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Las disposiciones clave dentro de la Orden son similares a las promulgadas en un desastre natural.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La Orden ayudará respecto a las cargas por costos y suministros a los que los proveedores y el sector de salud pública pueden tener dificultad en acceder debido al aumento en la demanda. También acrecenta el papel que juega el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Departamento de Salud Pú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blica del estado en el apoyo a los departamentos de salud locales, a quienes se les han encomendado las tareas de tener bajo observación las cuarentenas, dar seguimiento a exposición a la enfermedad y administrar pruebas. 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Las recomendaciones del Departamento de Salud y Servicios Humanos de Carolina del Norte actualizadas el día de hoy, se basan en la orientación de los Centros para el Control y la Prevención de Enfermedades (</w:t>
                                    </w:r>
                                    <w:r w:rsidRPr="00A11C50">
                                      <w:rPr>
                                        <w:rFonts w:ascii="Roboto" w:eastAsia="Roboto" w:hAnsi="Roboto"/>
                                        <w:i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CDC,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por sus siglas en inglés), en las medidas tomadas actualmente por otros estados y en la información de epidemiología más reciente disponible, a fin de proteger la salud del público. Muchas de las recomendaciones están dirigidas a la protección de las perso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nas que corren alto riesgo de sufrir una enfermedad grave, las cuales incluyen a adultos mayores de 65 años, aquellos con afecciones de salud subyacentes como trastornos cardíacas, pulmonares o diabetes, o bien, con sistemas inmunes debilitados. 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Se están haciendo recomendaciones adicionales para los residentes de la región del Triángulo. El 9 de marzo de 2020, el Departamento de Salud y Servicios Humanos de Carolina del Norte conf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irmó 5 nuevos casos del COVID-19 en el Condado de Wake, aumentando el total dentro del Condado a 6 casos, y en todo el estado, a 7. 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“Todos jugamos un papel para mantener a nuestr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as comunidades seguras y sanas</w:t>
                                    </w:r>
                                    <w:r w:rsidR="00A11C50"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; e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stas precauciones pueden ayudarnos a frenar la propagación de este virus y proteger a nuestros vecinos más vulnerables ", expresó la </w:t>
                                    </w:r>
                                    <w:proofErr w:type="gramStart"/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Secretaria</w:t>
                                    </w:r>
                                    <w:proofErr w:type="gramEnd"/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del Departamento de Salud y Servicios Humanos, la Dra.Mandy Cohen. "Guiémonos p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or la compasión y la razón, trabajemos para apoyarnos mutuamente como comunidad." 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Las siguientes recomendaciones son referentes a personas y establecimientos de TODO EL ESTADO.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u w:val="single"/>
                                        <w:lang w:val="es-ES_tradnl"/>
                                      </w:rPr>
                                      <w:t>PERSONAS QUE CORREN ALTO RIESGO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El Departamento de Salud y Servicios Humanos de Carolina del Norte, rec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omienda que las personas que corren un alto riesgo de enfermedad severa debido al COVID-19, eviten estar entre grupos grandes de gente, en la medida de lo posible. Esto incluye reuniones como salas de conciertos, convenciones, servicios religiosos, eventos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deportivos y eventos sociales llenos de gente. Las personas que corren un alto riesgo también deben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evitar viajes en cruceros y viajes aéreos que no son esenciales.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u w:val="single"/>
                                        <w:lang w:val="es-ES_tradnl"/>
                                      </w:rPr>
                                      <w:t>INSTALACIONES DONDE VIVEN ADULTOS MAYORES CONGREGADOS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El Departamento de Salud y Servicios Humanos de Carolina del Norte recomienda que todas las instalaciones que sirven como residencias para personas que corren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b/>
                                        <w:bCs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alto riesgo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lastRenderedPageBreak/>
                                      <w:t>como se ha descrito arriba, deben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restringir las visitas. Tales instalaciones incluyen asilos para ancianos, residencias de vida independiente y asistida, correccionales e instalacion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es donde se da atención a niños médicamente vulnerables. </w:t>
                                    </w:r>
                                  </w:p>
                                  <w:p w:rsidR="002903C0" w:rsidRPr="00A11C50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u w:val="single"/>
                                        <w:lang w:val="es-419"/>
                                      </w:rPr>
                                    </w:pPr>
                                    <w:r w:rsidRPr="00A11C50"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u w:val="single"/>
                                        <w:lang w:val="es-ES_tradnl"/>
                                      </w:rPr>
                                      <w:t>EVENTOS DE CONGREGACI</w:t>
                                    </w:r>
                                    <w:r w:rsidR="00A11C50" w:rsidRPr="00A11C50">
                                      <w:rPr>
                                        <w:rFonts w:ascii="Roboto" w:eastAsia="Roboto" w:hAnsi="Roboto" w:hint="cs"/>
                                        <w:color w:val="23221F"/>
                                        <w:sz w:val="20"/>
                                        <w:szCs w:val="20"/>
                                        <w:u w:val="single"/>
                                        <w:lang w:val="es-ES_tradnl"/>
                                      </w:rPr>
                                      <w:t>Ó</w:t>
                                    </w:r>
                                    <w:r w:rsidRPr="00A11C50"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u w:val="single"/>
                                        <w:lang w:val="es-ES_tradnl"/>
                                      </w:rPr>
                                      <w:t>N MASIVA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El Departamen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to de Salud y Servicios Humanos de Carolina del Norte recomienda que los organizadores de eventos:</w:t>
                                    </w:r>
                                  </w:p>
                                  <w:p w:rsidR="002903C0" w:rsidRPr="00567F4D" w:rsidRDefault="00BF0D10" w:rsidP="00BC049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Roboto" w:eastAsia="Times New Roman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Insten a que toda persona que está enferma, se abstenga de asistir.</w:t>
                                    </w:r>
                                  </w:p>
                                  <w:p w:rsidR="002903C0" w:rsidRPr="00567F4D" w:rsidRDefault="00BF0D10" w:rsidP="00BC049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Roboto" w:eastAsia="Times New Roman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Insten a quienes corren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b/>
                                        <w:bCs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un alto riesgo,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como se ha descrito arriba, a que se abstengan de asistir.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4"/>
                                        <w:szCs w:val="24"/>
                                        <w:lang w:val="es-ES_tradnl"/>
                                      </w:rPr>
                                      <w:t xml:space="preserve"> </w:t>
                                    </w:r>
                                  </w:p>
                                  <w:p w:rsidR="002903C0" w:rsidRPr="00567F4D" w:rsidRDefault="00BF0D10" w:rsidP="00BC049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Roboto" w:eastAsia="Times New Roman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Adoptar políticas de reembolso condesce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ndientes para las personas que corren alto riesgo. </w:t>
                                    </w:r>
                                  </w:p>
                                  <w:p w:rsidR="002903C0" w:rsidRPr="00567F4D" w:rsidRDefault="00BF0D10" w:rsidP="00BC049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Roboto" w:eastAsia="Times New Roman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Encontrar maneras para darle mayor espacio a la gente; limitar el contacto cercano lo más posible.</w:t>
                                    </w:r>
                                  </w:p>
                                  <w:p w:rsidR="002903C0" w:rsidRPr="00567F4D" w:rsidRDefault="00BF0D10" w:rsidP="00BC049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Roboto" w:eastAsia="Times New Roman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Instar a los asistentes a que se laven las manos con frecuencia.</w:t>
                                    </w:r>
                                  </w:p>
                                  <w:p w:rsidR="002903C0" w:rsidRPr="00567F4D" w:rsidRDefault="00BF0D10" w:rsidP="00BC049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Roboto" w:eastAsia="Times New Roman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Limpiar las superficies con agentes limpiadores estándar.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  <w:lang w:val="es-ES_tradnl"/>
                                      </w:rPr>
                                      <w:t>PARA TODOS LOS VIAJEROS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El Departamento de Salud y Servicios Humanos de Carolina del Norte recomienda que todos los viajeros regresen de los países y estados dentro de los Estados Unidos que hayan sufrido el impacto del COVID-19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s</w:t>
                                    </w:r>
                                    <w:r w:rsidR="009F0DCD"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igan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las pautas de observación de su propia pers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ona: </w:t>
                                    </w:r>
                                    <w:hyperlink r:id="rId9" w:tgtFrame="_blank" w:history="1">
                                      <w:r>
                                        <w:rPr>
                                          <w:rFonts w:ascii="Roboto" w:eastAsia="Roboto" w:hAnsi="Roboto"/>
                                          <w:color w:val="0000EE"/>
                                          <w:sz w:val="20"/>
                                          <w:szCs w:val="20"/>
                                          <w:u w:val="single"/>
                                          <w:lang w:val="es-ES_tradnl"/>
                                        </w:rPr>
                                        <w:t>https://www.ncdhhs.gov/divisions/public-health/coronavirus-disease-2019-covid-19-response-north-carolina/coronavirus</w:t>
                                      </w:r>
                                    </w:hyperlink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Las siguientes recomendaciones son referentes a personas y establecimientos del 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 w:hint="cs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Á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REA DEL TRI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 w:hint="cs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Á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NGULO</w:t>
                                    </w:r>
                                    <w:r>
                                      <w:rPr>
                                        <w:rStyle w:val="Strong"/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.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u w:val="single"/>
                                        <w:lang w:val="es-ES_tradnl"/>
                                      </w:rPr>
                                      <w:t>SITOS DE TRABAJO</w:t>
                                    </w:r>
                                  </w:p>
                                  <w:p w:rsidR="002903C0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El Departamento de Salud y Servicios Humanos de Carolina del Norte recomienda que empleadores y empleados usen tecnologías para trabajar desde casa, en la mayor medida posible. Además, los empleadores deben:</w:t>
                                    </w:r>
                                  </w:p>
                                  <w:p w:rsidR="002903C0" w:rsidRPr="00567F4D" w:rsidRDefault="00BF0D10" w:rsidP="00BC0490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Roboto" w:eastAsia="Times New Roman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Instar a los empleados para que permanezcan en casa cuando se encuentren enfermos, así como maximizar su flexibilidad referente a beneficios laborales de ausencia por enfermedad.</w:t>
                                    </w:r>
                                  </w:p>
                                  <w:p w:rsidR="002903C0" w:rsidRPr="00567F4D" w:rsidRDefault="00BF0D10" w:rsidP="00BC0490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Roboto" w:eastAsia="Times New Roman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Considerar el escalonamiento de horas de inicio y finalización de trabajo a fin de reducir grupos grandes de personas reuniéndose al mismo tiempo.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u w:val="single"/>
                                        <w:lang w:val="es-ES_tradnl"/>
                                      </w:rPr>
                                      <w:t>CONGREGACIONES MASIVAS DE PERSONAS, EVENTOS COMUNITARIOS Y SOCIALES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El Departamento de Salud y Servicios Humanos de Carolina del Norte recomienda qu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e los organizadores de eventos congregando  a personas masivamente, y que atraigan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lastRenderedPageBreak/>
                                      <w:t xml:space="preserve">principalmente a personas que corren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b/>
                                        <w:bCs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alto riesgo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, incluyendo a adultos mayores, consideren la cancelación o postergación de dichos eventos. 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Actualmente, el Departamento de Salud y Servicios Humanos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 de Carolina del Norte no recomienda cierres preventivos de escuelas. 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Las recomendaciones deben tomar efecto de inmediato y prolongarse hasta el 31 de marzo, 2020. El Departament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23221F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o de Salud y Servicios Humanos de Carolina del Norte tendrá bajo observación cercana la situación para determinar si las recomendaciones deben prolongarse más allá del 31 de marzo. 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Dichas medidas fueron anunciadas en una conferencia de prensa el día de hoy, la cual se llevó a cabo con el Gobernador Cooper y miembros del Grupo de Trabajo Especializado en Coronavirus del estado.  El texto completo de la Orden Ejecutiva se encuentra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aquí </w:t>
                                    </w:r>
                                    <w:hyperlink r:id="rId10" w:tgtFrame="_blank" w:history="1">
                                      <w:proofErr w:type="spellStart"/>
                                      <w:r>
                                        <w:rPr>
                                          <w:rFonts w:ascii="Roboto" w:eastAsia="Roboto" w:hAnsi="Roboto"/>
                                          <w:color w:val="0000EE"/>
                                          <w:sz w:val="20"/>
                                          <w:szCs w:val="20"/>
                                          <w:u w:val="single"/>
                                          <w:lang w:val="es-ES_tradnl"/>
                                        </w:rPr>
                                        <w:t>here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Roboto" w:eastAsia="Roboto" w:hAnsi="Roboto"/>
                                        <w:color w:val="333333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.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Es importante asegurarse que la información obtenga sobre el 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COVID-19 provenga directamente de fuentes confiables, como los Centros para el Control y la Prevención de Enfermedades (CDC) y del Departamento de Salud y Servicios Humanos de Carolina del Norte (NCDHHS). </w:t>
                                    </w:r>
                                  </w:p>
                                  <w:p w:rsidR="002903C0" w:rsidRPr="00567F4D" w:rsidRDefault="00BF0D1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>Para obtener más información, visite el sitio Web de los Centros CDC en www.cdc.gov/coronavirus y en el sitio Web de NCDHHS en www.ncdhhs.gov/coronavirus, los cuales también incluirán futuros resultados de pruebas que den positiv</w:t>
                                    </w:r>
                                    <w:r>
                                      <w:rPr>
                                        <w:rFonts w:ascii="Roboto" w:eastAsia="Roboto" w:hAnsi="Roboto"/>
                                        <w:color w:val="000000"/>
                                        <w:sz w:val="20"/>
                                        <w:szCs w:val="20"/>
                                        <w:lang w:val="es-ES_tradnl"/>
                                      </w:rPr>
                                      <w:t xml:space="preserve">o al COVID-19 en Carolina del Norte. </w:t>
                                    </w:r>
                                  </w:p>
                                  <w:p w:rsidR="002903C0" w:rsidRPr="00567F4D" w:rsidRDefault="002903C0">
                                    <w:pPr>
                                      <w:pStyle w:val="NormalWeb"/>
                                      <w:spacing w:before="240" w:beforeAutospacing="0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  <w:lang w:val="es-419"/>
                                      </w:rPr>
                                    </w:pPr>
                                  </w:p>
                                  <w:p w:rsidR="002903C0" w:rsidRDefault="00BF0D10">
                                    <w:pPr>
                                      <w:pStyle w:val="NormalWeb"/>
                                      <w:spacing w:before="240" w:beforeAutospacing="0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333333"/>
                                        <w:sz w:val="20"/>
                                        <w:szCs w:val="20"/>
                                      </w:rPr>
                                      <w:t>###</w:t>
                                    </w:r>
                                  </w:p>
                                </w:tc>
                              </w:tr>
                            </w:tbl>
                            <w:p w:rsidR="002903C0" w:rsidRDefault="002903C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2903C0" w:rsidRDefault="00BF0D10">
                              <w:pPr>
                                <w:spacing w:line="0" w:lineRule="auto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18512295" name="Picture 5" descr="https://ui.icontact.com/assets/1p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03C0" w:rsidRDefault="002903C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03C0" w:rsidRDefault="002903C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903C0" w:rsidRDefault="002903C0">
            <w:pPr>
              <w:rPr>
                <w:rFonts w:ascii="Roboto" w:hAnsi="Roboto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61BB9">
              <w:tc>
                <w:tcPr>
                  <w:tcW w:w="5000" w:type="pct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1B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"/>
                          <w:gridCol w:w="8100"/>
                          <w:gridCol w:w="225"/>
                        </w:tblGrid>
                        <w:tr w:rsidR="00F61BB9"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2903C0" w:rsidRDefault="00BF0D10">
                              <w:pPr>
                                <w:spacing w:line="0" w:lineRule="auto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30688946" name="Picture 6" descr="https://ui.icontact.com/assets/1p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1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F61BB9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00"/>
                                    </w:tblGrid>
                                    <w:tr w:rsidR="00F61BB9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888888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2903C0" w:rsidRDefault="00BF0D10">
                                          <w:pPr>
                                            <w:spacing w:line="0" w:lineRule="atLeast"/>
                                            <w:rPr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903C0" w:rsidRDefault="002903C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903C0" w:rsidRDefault="002903C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2903C0" w:rsidRDefault="00BF0D10">
                              <w:pPr>
                                <w:spacing w:line="0" w:lineRule="auto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04026589" name="Picture 7" descr="https://ui.icontact.com/assets/1p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03C0" w:rsidRDefault="002903C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03C0" w:rsidRDefault="002903C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903C0" w:rsidRDefault="002903C0">
            <w:pPr>
              <w:rPr>
                <w:rFonts w:ascii="Roboto" w:hAnsi="Roboto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61BB9">
              <w:tc>
                <w:tcPr>
                  <w:tcW w:w="5000" w:type="pct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1BB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225" w:type="dxa"/>
                          <w:bottom w:w="300" w:type="dxa"/>
                          <w:right w:w="22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"/>
                          <w:gridCol w:w="8100"/>
                          <w:gridCol w:w="225"/>
                        </w:tblGrid>
                        <w:tr w:rsidR="00F61BB9"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2903C0" w:rsidRDefault="00BF0D10">
                              <w:pPr>
                                <w:spacing w:line="0" w:lineRule="auto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36867225" name="Picture 8" descr="https://ui.icontact.com/assets/1p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1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F61BB9"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:rsidR="002903C0" w:rsidRDefault="002903C0">
                                    <w:pPr>
                                      <w:pStyle w:val="NormalWeb"/>
                                      <w:shd w:val="clear" w:color="auto" w:fill="FFFFFF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903C0" w:rsidRDefault="00BF0D10">
                                    <w:pPr>
                                      <w:pStyle w:val="NormalWeb"/>
                                      <w:shd w:val="clear" w:color="auto" w:fill="FFFFFF"/>
                                      <w:spacing w:before="240" w:beforeAutospacing="0" w:line="120" w:lineRule="atLeast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ql-cursor"/>
                                        <w:rFonts w:ascii="Tahoma" w:eastAsia="Tahoma" w:hAnsi="Tahoma" w:cs="Tahoma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  <w:lang w:val="es-ES_tradnl"/>
                                      </w:rPr>
                                      <w:t>﻿</w:t>
                                    </w:r>
                                    <w:proofErr w:type="spellStart"/>
                                    <w:r>
                                      <w:rPr>
                                        <w:rStyle w:val="ql-cursor"/>
                                        <w:rFonts w:ascii="Roboto" w:eastAsia="Roboto" w:hAnsi="Roboto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Style w:val="ql-cursor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íganos</w:t>
                                    </w:r>
                                    <w:proofErr w:type="spellEnd"/>
                                    <w:r>
                                      <w:rPr>
                                        <w:rStyle w:val="ql-cursor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ql-cursor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en</w:t>
                                    </w:r>
                                    <w:proofErr w:type="spellEnd"/>
                                    <w:r>
                                      <w:rPr>
                                        <w:rStyle w:val="ql-cursor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ql-cursor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línea</w:t>
                                    </w:r>
                                    <w:proofErr w:type="spellEnd"/>
                                    <w:r>
                                      <w:rPr>
                                        <w:rStyle w:val="ql-cursor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, visite:</w:t>
                                    </w:r>
                                    <w:bookmarkStart w:id="0" w:name="_GoBack"/>
                                    <w:bookmarkEnd w:id="0"/>
                                  </w:p>
                                  <w:p w:rsidR="002903C0" w:rsidRDefault="00BF0D10">
                                    <w:pPr>
                                      <w:pStyle w:val="NormalWeb"/>
                                      <w:shd w:val="clear" w:color="auto" w:fill="FFFFFF"/>
                                      <w:spacing w:before="240" w:beforeAutospacing="0" w:line="120" w:lineRule="atLeast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hyperlink r:id="rId11" w:tgtFrame="_blank" w:history="1">
                                      <w:r w:rsidRPr="00567F4D">
                                        <w:rPr>
                                          <w:rFonts w:ascii="Roboto" w:eastAsia="Roboto" w:hAnsi="Roboto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Governor.nc.gov</w:t>
                                      </w:r>
                                    </w:hyperlink>
                                  </w:p>
                                  <w:p w:rsidR="002903C0" w:rsidRDefault="00BF0D10">
                                    <w:pPr>
                                      <w:pStyle w:val="NormalWeb"/>
                                      <w:shd w:val="clear" w:color="auto" w:fill="FFFFFF"/>
                                      <w:spacing w:before="240" w:beforeAutospacing="0" w:line="120" w:lineRule="atLeast"/>
                                      <w:jc w:val="center"/>
                                      <w:rPr>
                                        <w:rFonts w:ascii="Roboto" w:hAnsi="Roboto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hyperlink r:id="rId12" w:tgtFrame="_blank" w:history="1">
                                      <w:r w:rsidRPr="00BF0D10">
                                        <w:rPr>
                                          <w:rFonts w:ascii="Roboto" w:eastAsia="Roboto" w:hAnsi="Roboto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Faceboo</w:t>
                                      </w:r>
                                      <w:r w:rsidRPr="00BF0D10">
                                        <w:rPr>
                                          <w:rFonts w:ascii="Roboto" w:eastAsia="Roboto" w:hAnsi="Roboto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k</w:t>
                                      </w:r>
                                    </w:hyperlink>
                                    <w:r w:rsidRPr="00BF0D10">
                                      <w:rPr>
                                        <w:rFonts w:ascii="Roboto" w:eastAsia="Roboto" w:hAnsi="Roboto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</w:rPr>
                                      <w:t> •  </w:t>
                                    </w:r>
                                    <w:hyperlink r:id="rId13" w:tgtFrame="_blank" w:history="1">
                                      <w:r w:rsidRPr="00BF0D10">
                                        <w:rPr>
                                          <w:rFonts w:ascii="Roboto" w:eastAsia="Roboto" w:hAnsi="Roboto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Twitter</w:t>
                                      </w:r>
                                    </w:hyperlink>
                                    <w:r w:rsidRPr="00BF0D10">
                                      <w:rPr>
                                        <w:rFonts w:ascii="Roboto" w:eastAsia="Roboto" w:hAnsi="Roboto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</w:rPr>
                                      <w:t>  •  </w:t>
                                    </w:r>
                                    <w:hyperlink r:id="rId14" w:tgtFrame="_blank" w:history="1">
                                      <w:r w:rsidRPr="00BF0D10">
                                        <w:rPr>
                                          <w:rFonts w:ascii="Roboto" w:eastAsia="Roboto" w:hAnsi="Roboto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Instagram</w:t>
                                      </w:r>
                                    </w:hyperlink>
                                    <w:r w:rsidRPr="00BF0D10">
                                      <w:rPr>
                                        <w:rFonts w:ascii="Roboto" w:eastAsia="Roboto" w:hAnsi="Roboto"/>
                                        <w:b/>
                                        <w:bCs/>
                                        <w:color w:val="333333"/>
                                        <w:sz w:val="18"/>
                                        <w:szCs w:val="18"/>
                                      </w:rPr>
                                      <w:t> •  </w:t>
                                    </w:r>
                                    <w:hyperlink r:id="rId15" w:tgtFrame="_blank" w:history="1">
                                      <w:r w:rsidRPr="00BF0D10">
                                        <w:rPr>
                                          <w:rFonts w:ascii="Roboto" w:eastAsia="Roboto" w:hAnsi="Roboto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Flickr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903C0" w:rsidRDefault="002903C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:rsidR="002903C0" w:rsidRDefault="00BF0D10">
                              <w:pPr>
                                <w:spacing w:line="0" w:lineRule="auto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84751110" name="Picture 9" descr="https://ui.icontact.com/assets/1p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903C0" w:rsidRDefault="002903C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03C0" w:rsidRDefault="002903C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903C0" w:rsidRDefault="002903C0">
            <w:pPr>
              <w:rPr>
                <w:rFonts w:eastAsia="Times New Roman"/>
              </w:rPr>
            </w:pPr>
          </w:p>
        </w:tc>
      </w:tr>
    </w:tbl>
    <w:p w:rsidR="0007592A" w:rsidRDefault="0007592A"/>
    <w:sectPr w:rsidR="00075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50105"/>
    <w:multiLevelType w:val="multilevel"/>
    <w:tmpl w:val="A000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624C1"/>
    <w:multiLevelType w:val="multilevel"/>
    <w:tmpl w:val="570A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C0"/>
    <w:rsid w:val="0007592A"/>
    <w:rsid w:val="002903C0"/>
    <w:rsid w:val="00550262"/>
    <w:rsid w:val="00567F4D"/>
    <w:rsid w:val="009F0DCD"/>
    <w:rsid w:val="00A11C50"/>
    <w:rsid w:val="00BC0490"/>
    <w:rsid w:val="00BF0D10"/>
    <w:rsid w:val="00F6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6674"/>
  <w15:chartTrackingRefBased/>
  <w15:docId w15:val="{254E413A-D4CD-4902-841D-6970C6C1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03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03C0"/>
    <w:pPr>
      <w:spacing w:before="100" w:beforeAutospacing="1" w:after="100" w:afterAutospacing="1"/>
    </w:pPr>
  </w:style>
  <w:style w:type="paragraph" w:customStyle="1" w:styleId="paragraph-spacing-none">
    <w:name w:val="paragraph-spacing-none"/>
    <w:basedOn w:val="Normal"/>
    <w:uiPriority w:val="99"/>
    <w:semiHidden/>
    <w:rsid w:val="002903C0"/>
  </w:style>
  <w:style w:type="character" w:customStyle="1" w:styleId="ql-cursor">
    <w:name w:val="ql-cursor"/>
    <w:basedOn w:val="DefaultParagraphFont"/>
    <w:rsid w:val="002903C0"/>
  </w:style>
  <w:style w:type="character" w:styleId="Strong">
    <w:name w:val="Strong"/>
    <w:basedOn w:val="DefaultParagraphFont"/>
    <w:uiPriority w:val="22"/>
    <w:qFormat/>
    <w:rsid w:val="002903C0"/>
    <w:rPr>
      <w:b/>
      <w:bCs/>
    </w:rPr>
  </w:style>
  <w:style w:type="character" w:styleId="Emphasis">
    <w:name w:val="Emphasis"/>
    <w:basedOn w:val="DefaultParagraphFont"/>
    <w:uiPriority w:val="20"/>
    <w:qFormat/>
    <w:rsid w:val="002903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.icptrack.com/icp/relay.php?r=14298372&amp;msgid=474198&amp;act=REX5&amp;c=1346310&amp;destination=https%3A%2F%2Ffiles.nc.gov%2Fgovernor%2Fdocuments%2Ffiles%2FEO116-SOE-COVID-19.pdf" TargetMode="External"/><Relationship Id="rId13" Type="http://schemas.openxmlformats.org/officeDocument/2006/relationships/hyperlink" Target="https://click.icptrack.com/icp/relay.php?r=14298372&amp;msgid=474198&amp;act=REX5&amp;c=1346310&amp;destination=https%3A%2F%2Ftwitter.com%2Fnc_govern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vpress@nc.gov" TargetMode="External"/><Relationship Id="rId12" Type="http://schemas.openxmlformats.org/officeDocument/2006/relationships/hyperlink" Target="https://click.icptrack.com/icp/relay.php?r=14298372&amp;msgid=474198&amp;act=REX5&amp;c=1346310&amp;destination=https%3A%2F%2Fwww.facebook.com%2FNCgovernor%2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lick.icptrack.com/icp/relay.php?r=14298372&amp;msgid=474198&amp;act=REX5&amp;c=1346310&amp;destination=http%3A%2F%2Fgovernor.nc.gov%2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lick.icptrack.com/icp/relay.php?r=14298372&amp;msgid=474198&amp;act=REX5&amp;c=1346310&amp;destination=https%3A%2F%2Fwww.flickr.com%2Fphotos%2Fnc_governor%2F" TargetMode="External"/><Relationship Id="rId10" Type="http://schemas.openxmlformats.org/officeDocument/2006/relationships/hyperlink" Target="https://click.icptrack.com/icp/relay.php?r=14298372&amp;msgid=474198&amp;act=REX5&amp;c=1346310&amp;destination=https%3A%2F%2Ffiles.nc.gov%2Fgovernor%2Fdocuments%2Ffiles%2FEO116-SOE-COVID-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ck.icptrack.com/icp/relay.php?r=14298372&amp;msgid=474198&amp;act=REX5&amp;c=1346310&amp;destination=https%3A%2F%2Fwww.ncdhhs.gov%2Fdivisions%2Fpublic-health%2Fcoronavirus-disease-2019-covid-19-response-north-carolina%2Fcoronavirus" TargetMode="External"/><Relationship Id="rId14" Type="http://schemas.openxmlformats.org/officeDocument/2006/relationships/hyperlink" Target="https://click.icptrack.com/icp/relay.php?r=14298372&amp;msgid=474198&amp;act=REX5&amp;c=1346310&amp;destination=https%3A%2F%2Fwww.instagram.com%2Fnc_governor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Quintero, Karen</dc:creator>
  <cp:lastModifiedBy>Quintero, Karen </cp:lastModifiedBy>
  <cp:revision>7</cp:revision>
  <dcterms:created xsi:type="dcterms:W3CDTF">2020-03-10T18:34:00Z</dcterms:created>
  <dcterms:modified xsi:type="dcterms:W3CDTF">2020-03-10T20:04:00Z</dcterms:modified>
</cp:coreProperties>
</file>