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15ACB" w14:textId="213FC32B" w:rsidR="0057390D" w:rsidRPr="00CB19DE" w:rsidRDefault="00CB19DE" w:rsidP="00CB19DE">
      <w:pPr>
        <w:jc w:val="center"/>
        <w:rPr>
          <w:b/>
          <w:bCs/>
          <w:sz w:val="22"/>
          <w:szCs w:val="28"/>
        </w:rPr>
      </w:pPr>
      <w:r w:rsidRPr="00CB19DE">
        <w:rPr>
          <w:b/>
          <w:bCs/>
          <w:sz w:val="22"/>
          <w:szCs w:val="28"/>
        </w:rPr>
        <w:t>Administrative Letter No. 21-0</w:t>
      </w:r>
      <w:r w:rsidR="00BE341E">
        <w:rPr>
          <w:b/>
          <w:bCs/>
          <w:sz w:val="22"/>
          <w:szCs w:val="28"/>
        </w:rPr>
        <w:t>3</w:t>
      </w:r>
    </w:p>
    <w:p w14:paraId="3E26AED9" w14:textId="77777777" w:rsidR="00CB19DE" w:rsidRPr="00D2510F" w:rsidRDefault="00CB19DE" w:rsidP="00CB19DE">
      <w:pPr>
        <w:jc w:val="center"/>
        <w:rPr>
          <w:rFonts w:cs="Arial"/>
          <w:b/>
          <w:sz w:val="22"/>
          <w:szCs w:val="22"/>
        </w:rPr>
      </w:pPr>
      <w:r w:rsidRPr="00D2510F">
        <w:rPr>
          <w:rFonts w:cs="Arial"/>
          <w:b/>
          <w:sz w:val="22"/>
          <w:szCs w:val="22"/>
        </w:rPr>
        <w:t xml:space="preserve">ATTACHMENT </w:t>
      </w:r>
      <w:r>
        <w:rPr>
          <w:rFonts w:cs="Arial"/>
          <w:b/>
          <w:sz w:val="22"/>
          <w:szCs w:val="22"/>
        </w:rPr>
        <w:t>B</w:t>
      </w:r>
      <w:r w:rsidRPr="00D2510F">
        <w:rPr>
          <w:rFonts w:cs="Arial"/>
          <w:b/>
          <w:sz w:val="22"/>
          <w:szCs w:val="22"/>
        </w:rPr>
        <w:t>:</w:t>
      </w:r>
    </w:p>
    <w:p w14:paraId="6D0E908C" w14:textId="77777777" w:rsidR="00CB19DE" w:rsidRPr="00BE341E" w:rsidRDefault="00CB19DE" w:rsidP="00B740C5">
      <w:pPr>
        <w:spacing w:after="360"/>
        <w:jc w:val="center"/>
        <w:rPr>
          <w:rFonts w:cs="Arial"/>
          <w:b/>
          <w:sz w:val="28"/>
          <w:szCs w:val="28"/>
        </w:rPr>
      </w:pPr>
      <w:r w:rsidRPr="00BE341E">
        <w:rPr>
          <w:rFonts w:cs="Arial"/>
          <w:b/>
          <w:sz w:val="28"/>
          <w:szCs w:val="28"/>
        </w:rPr>
        <w:t>Updated Sec. 308 of the AAA Policies and Procedures Manual</w:t>
      </w:r>
    </w:p>
    <w:p w14:paraId="62CC4344" w14:textId="77777777" w:rsidR="00CB19DE" w:rsidRPr="008F6131" w:rsidRDefault="00CB19DE" w:rsidP="00CB19DE">
      <w:pPr>
        <w:pStyle w:val="Heading1"/>
        <w:spacing w:before="0" w:after="120"/>
        <w:ind w:left="900" w:hanging="900"/>
        <w:rPr>
          <w:rFonts w:ascii="Arial" w:hAnsi="Arial" w:cs="Arial"/>
          <w:b/>
          <w:i/>
          <w:color w:val="auto"/>
          <w:sz w:val="22"/>
          <w:szCs w:val="22"/>
        </w:rPr>
      </w:pPr>
      <w:r w:rsidRPr="008F6131">
        <w:rPr>
          <w:rFonts w:ascii="Arial" w:hAnsi="Arial" w:cs="Arial"/>
          <w:b/>
          <w:i/>
          <w:color w:val="auto"/>
          <w:sz w:val="22"/>
          <w:szCs w:val="22"/>
        </w:rPr>
        <w:t>308:</w:t>
      </w:r>
      <w:r w:rsidRPr="008F6131">
        <w:rPr>
          <w:rFonts w:ascii="Arial" w:hAnsi="Arial" w:cs="Arial"/>
          <w:b/>
          <w:i/>
          <w:color w:val="auto"/>
          <w:sz w:val="22"/>
          <w:szCs w:val="22"/>
        </w:rPr>
        <w:tab/>
        <w:t>Monitoring of Community Service Providers</w:t>
      </w:r>
    </w:p>
    <w:p w14:paraId="513D8402" w14:textId="77777777" w:rsidR="00CB19DE" w:rsidRPr="00D2510F" w:rsidRDefault="00CB19DE" w:rsidP="00CB19DE">
      <w:pPr>
        <w:numPr>
          <w:ilvl w:val="1"/>
          <w:numId w:val="0"/>
        </w:numPr>
        <w:spacing w:after="120"/>
        <w:ind w:left="900" w:hanging="900"/>
        <w:rPr>
          <w:rFonts w:cs="Arial"/>
          <w:b/>
          <w:i/>
          <w:sz w:val="22"/>
          <w:szCs w:val="22"/>
        </w:rPr>
      </w:pPr>
      <w:r w:rsidRPr="00D2510F">
        <w:rPr>
          <w:rFonts w:cs="Arial"/>
          <w:b/>
          <w:i/>
          <w:sz w:val="22"/>
          <w:szCs w:val="22"/>
        </w:rPr>
        <w:t xml:space="preserve">308.1: </w:t>
      </w:r>
      <w:r w:rsidRPr="00D2510F">
        <w:rPr>
          <w:rFonts w:cs="Arial"/>
          <w:b/>
          <w:i/>
          <w:sz w:val="22"/>
          <w:szCs w:val="22"/>
        </w:rPr>
        <w:tab/>
        <w:t>Introduction</w:t>
      </w:r>
    </w:p>
    <w:p w14:paraId="3FFE27AE" w14:textId="77777777" w:rsidR="00CB19DE" w:rsidRPr="00D2510F" w:rsidRDefault="00CB19DE" w:rsidP="00CB19DE">
      <w:pPr>
        <w:tabs>
          <w:tab w:val="left" w:pos="1260"/>
        </w:tabs>
        <w:spacing w:after="120"/>
        <w:ind w:left="900"/>
        <w:rPr>
          <w:rFonts w:cs="Arial"/>
          <w:sz w:val="22"/>
          <w:szCs w:val="22"/>
        </w:rPr>
      </w:pPr>
      <w:r w:rsidRPr="00D2510F">
        <w:rPr>
          <w:rFonts w:cs="Arial"/>
          <w:sz w:val="22"/>
          <w:szCs w:val="22"/>
        </w:rPr>
        <w:t>Area Agencies on Aging will conduct monitoring of community service providers in accordance with the requirements specified in this policy and in accordance with:</w:t>
      </w:r>
    </w:p>
    <w:p w14:paraId="144507B8" w14:textId="77777777" w:rsidR="00CB19DE" w:rsidRPr="00DB7744" w:rsidRDefault="00CB19DE" w:rsidP="00CB19DE">
      <w:pPr>
        <w:numPr>
          <w:ilvl w:val="0"/>
          <w:numId w:val="13"/>
        </w:numPr>
        <w:tabs>
          <w:tab w:val="left" w:pos="1260"/>
        </w:tabs>
        <w:spacing w:after="120"/>
        <w:ind w:left="1260"/>
        <w:rPr>
          <w:rFonts w:cs="Arial"/>
          <w:sz w:val="22"/>
          <w:szCs w:val="22"/>
        </w:rPr>
      </w:pPr>
      <w:r w:rsidRPr="00D2510F">
        <w:rPr>
          <w:rFonts w:cs="Arial"/>
          <w:sz w:val="22"/>
          <w:szCs w:val="22"/>
        </w:rPr>
        <w:t xml:space="preserve">The Older Americans Act, </w:t>
      </w:r>
      <w:r w:rsidRPr="00DB7744">
        <w:rPr>
          <w:rFonts w:cs="Arial"/>
          <w:sz w:val="22"/>
          <w:szCs w:val="22"/>
        </w:rPr>
        <w:t>Section 306 (a)(6)(A)</w:t>
      </w:r>
    </w:p>
    <w:p w14:paraId="3745D897" w14:textId="77777777" w:rsidR="00CB19DE" w:rsidRPr="00DB7744" w:rsidRDefault="00CB19DE" w:rsidP="00CB19DE">
      <w:pPr>
        <w:numPr>
          <w:ilvl w:val="0"/>
          <w:numId w:val="13"/>
        </w:numPr>
        <w:tabs>
          <w:tab w:val="left" w:pos="1260"/>
        </w:tabs>
        <w:spacing w:after="120"/>
        <w:ind w:left="1260"/>
        <w:rPr>
          <w:rFonts w:cs="Arial"/>
          <w:sz w:val="22"/>
          <w:szCs w:val="22"/>
        </w:rPr>
      </w:pPr>
      <w:r w:rsidRPr="00DB7744">
        <w:rPr>
          <w:rFonts w:cs="Arial"/>
          <w:sz w:val="22"/>
          <w:szCs w:val="22"/>
        </w:rPr>
        <w:t>Office of Budget and Management Uniform Guidance 2 CFR Part 200</w:t>
      </w:r>
    </w:p>
    <w:p w14:paraId="0D92DBEB" w14:textId="77777777" w:rsidR="00CB19DE" w:rsidRPr="00D2510F" w:rsidRDefault="00CB19DE" w:rsidP="00CB19DE">
      <w:pPr>
        <w:numPr>
          <w:ilvl w:val="0"/>
          <w:numId w:val="13"/>
        </w:numPr>
        <w:tabs>
          <w:tab w:val="left" w:pos="1260"/>
        </w:tabs>
        <w:spacing w:after="120"/>
        <w:ind w:left="1260"/>
        <w:rPr>
          <w:rFonts w:cs="Arial"/>
          <w:sz w:val="22"/>
          <w:szCs w:val="22"/>
        </w:rPr>
      </w:pPr>
      <w:r w:rsidRPr="00D2510F">
        <w:rPr>
          <w:rFonts w:cs="Arial"/>
          <w:sz w:val="22"/>
          <w:szCs w:val="22"/>
        </w:rPr>
        <w:t>45 CFR 1321.7(a) and 1321.61(b)(1)</w:t>
      </w:r>
    </w:p>
    <w:p w14:paraId="560B8FA6" w14:textId="77777777" w:rsidR="00CB19DE" w:rsidRPr="00D2510F" w:rsidRDefault="00CB19DE" w:rsidP="00CB19DE">
      <w:pPr>
        <w:numPr>
          <w:ilvl w:val="0"/>
          <w:numId w:val="13"/>
        </w:numPr>
        <w:tabs>
          <w:tab w:val="left" w:pos="1260"/>
        </w:tabs>
        <w:spacing w:after="120"/>
        <w:ind w:left="1260"/>
        <w:rPr>
          <w:rFonts w:cs="Arial"/>
          <w:sz w:val="22"/>
          <w:szCs w:val="22"/>
        </w:rPr>
      </w:pPr>
      <w:r w:rsidRPr="00D2510F">
        <w:rPr>
          <w:rFonts w:cs="Arial"/>
          <w:sz w:val="22"/>
          <w:szCs w:val="22"/>
        </w:rPr>
        <w:t>The Home and Community Care Block Grant Agreement for the provision of County Based Aging Services (DAAS 735)</w:t>
      </w:r>
    </w:p>
    <w:p w14:paraId="1492C5DF" w14:textId="77777777" w:rsidR="00CB19DE" w:rsidRPr="00D2510F" w:rsidRDefault="00CB19DE" w:rsidP="00CB19DE">
      <w:pPr>
        <w:numPr>
          <w:ilvl w:val="0"/>
          <w:numId w:val="13"/>
        </w:numPr>
        <w:tabs>
          <w:tab w:val="left" w:pos="1260"/>
        </w:tabs>
        <w:spacing w:after="120"/>
        <w:ind w:left="1260"/>
        <w:rPr>
          <w:rFonts w:cs="Arial"/>
          <w:sz w:val="22"/>
          <w:szCs w:val="22"/>
        </w:rPr>
      </w:pPr>
      <w:r w:rsidRPr="00D2510F">
        <w:rPr>
          <w:rFonts w:cs="Arial"/>
          <w:sz w:val="22"/>
          <w:szCs w:val="22"/>
        </w:rPr>
        <w:t>The Division of Aging and Adult Services Home and Community Care Block Grant Manual</w:t>
      </w:r>
    </w:p>
    <w:p w14:paraId="5DBDCB6F" w14:textId="77777777" w:rsidR="00CB19DE" w:rsidRPr="00DB7744" w:rsidRDefault="00CB19DE" w:rsidP="00CB19DE">
      <w:pPr>
        <w:numPr>
          <w:ilvl w:val="0"/>
          <w:numId w:val="13"/>
        </w:numPr>
        <w:tabs>
          <w:tab w:val="left" w:pos="1260"/>
        </w:tabs>
        <w:spacing w:after="120"/>
        <w:ind w:left="1260"/>
        <w:rPr>
          <w:rFonts w:cs="Arial"/>
          <w:sz w:val="22"/>
          <w:szCs w:val="22"/>
        </w:rPr>
      </w:pPr>
      <w:r w:rsidRPr="00DB7744">
        <w:rPr>
          <w:rFonts w:cs="Arial"/>
          <w:sz w:val="22"/>
          <w:szCs w:val="22"/>
        </w:rPr>
        <w:t xml:space="preserve">DAAS Administrative Letter 98-7, Implementation of Revisions to the Single Audit Act Applicable to Monitoring and Audits of Subrecipients </w:t>
      </w:r>
    </w:p>
    <w:p w14:paraId="55324FD8" w14:textId="77777777" w:rsidR="00CB19DE" w:rsidRPr="00D2510F" w:rsidRDefault="00CB19DE" w:rsidP="00CB19DE">
      <w:pPr>
        <w:numPr>
          <w:ilvl w:val="0"/>
          <w:numId w:val="13"/>
        </w:numPr>
        <w:tabs>
          <w:tab w:val="left" w:pos="1260"/>
        </w:tabs>
        <w:spacing w:after="120"/>
        <w:ind w:left="1260"/>
        <w:rPr>
          <w:rFonts w:cs="Arial"/>
          <w:sz w:val="22"/>
          <w:szCs w:val="22"/>
        </w:rPr>
      </w:pPr>
      <w:r w:rsidRPr="00D2510F">
        <w:rPr>
          <w:rFonts w:cs="Arial"/>
          <w:sz w:val="22"/>
          <w:szCs w:val="22"/>
        </w:rPr>
        <w:t>DAAS Administrative Letter 98-11, Self-Monitoring Guide for Monitoring Area Agencies, Change Notice to Policy Manual, Section 1700</w:t>
      </w:r>
    </w:p>
    <w:p w14:paraId="062DE83D" w14:textId="77777777" w:rsidR="00CB19DE" w:rsidRPr="00D2510F" w:rsidRDefault="00CB19DE" w:rsidP="00CB19DE">
      <w:pPr>
        <w:numPr>
          <w:ilvl w:val="0"/>
          <w:numId w:val="13"/>
        </w:numPr>
        <w:tabs>
          <w:tab w:val="left" w:pos="1260"/>
        </w:tabs>
        <w:spacing w:after="120"/>
        <w:ind w:left="1260"/>
        <w:rPr>
          <w:rFonts w:cs="Arial"/>
          <w:sz w:val="22"/>
          <w:szCs w:val="22"/>
        </w:rPr>
      </w:pPr>
      <w:r w:rsidRPr="00D2510F">
        <w:rPr>
          <w:rFonts w:cs="Arial"/>
          <w:sz w:val="22"/>
          <w:szCs w:val="22"/>
        </w:rPr>
        <w:t xml:space="preserve">DAAS Administrative Letter 12-08 Monitoring of Services Funded by the Home and Community Care Block Grant (HCCBG) </w:t>
      </w:r>
    </w:p>
    <w:p w14:paraId="2A332CAD" w14:textId="77777777" w:rsidR="00CB19DE" w:rsidRPr="00D2510F" w:rsidRDefault="00CB19DE" w:rsidP="00CB19DE">
      <w:pPr>
        <w:numPr>
          <w:ilvl w:val="0"/>
          <w:numId w:val="13"/>
        </w:numPr>
        <w:tabs>
          <w:tab w:val="left" w:pos="1260"/>
        </w:tabs>
        <w:spacing w:after="240"/>
        <w:ind w:left="1260"/>
        <w:rPr>
          <w:rFonts w:cs="Arial"/>
          <w:sz w:val="22"/>
          <w:szCs w:val="22"/>
        </w:rPr>
      </w:pPr>
      <w:r w:rsidRPr="00D2510F">
        <w:rPr>
          <w:rFonts w:cs="Arial"/>
          <w:sz w:val="22"/>
          <w:szCs w:val="22"/>
        </w:rPr>
        <w:t xml:space="preserve">NC Department of Health and Human Services Policies and Procedures Manual, Monitoring of Programs </w:t>
      </w:r>
    </w:p>
    <w:p w14:paraId="0845AB63" w14:textId="77777777" w:rsidR="00CB19DE" w:rsidRPr="00D2510F" w:rsidRDefault="00CB19DE" w:rsidP="00CB19DE">
      <w:pPr>
        <w:pStyle w:val="Header"/>
        <w:numPr>
          <w:ilvl w:val="1"/>
          <w:numId w:val="0"/>
        </w:numPr>
        <w:spacing w:after="120"/>
        <w:ind w:left="900" w:hanging="900"/>
        <w:rPr>
          <w:rFonts w:ascii="Arial" w:hAnsi="Arial" w:cs="Arial"/>
          <w:sz w:val="22"/>
          <w:szCs w:val="22"/>
        </w:rPr>
      </w:pPr>
      <w:r w:rsidRPr="00D2510F">
        <w:rPr>
          <w:rFonts w:ascii="Arial" w:hAnsi="Arial" w:cs="Arial"/>
          <w:b/>
          <w:i/>
          <w:sz w:val="22"/>
          <w:szCs w:val="22"/>
        </w:rPr>
        <w:t>308.2:</w:t>
      </w:r>
      <w:r w:rsidRPr="00D2510F">
        <w:rPr>
          <w:rFonts w:ascii="Arial" w:hAnsi="Arial" w:cs="Arial"/>
          <w:b/>
          <w:i/>
          <w:sz w:val="22"/>
          <w:szCs w:val="22"/>
        </w:rPr>
        <w:tab/>
        <w:t>Monitoring Plan</w:t>
      </w:r>
    </w:p>
    <w:p w14:paraId="73CCB3D4" w14:textId="77777777" w:rsidR="00CB19DE" w:rsidRPr="00D2510F" w:rsidRDefault="00CB19DE" w:rsidP="00CB19DE">
      <w:pPr>
        <w:pStyle w:val="Header"/>
        <w:numPr>
          <w:ilvl w:val="0"/>
          <w:numId w:val="1"/>
        </w:numPr>
        <w:tabs>
          <w:tab w:val="clear" w:pos="1080"/>
          <w:tab w:val="clear" w:pos="4680"/>
          <w:tab w:val="clear" w:pos="9360"/>
        </w:tabs>
        <w:spacing w:after="120"/>
        <w:ind w:left="1260"/>
        <w:rPr>
          <w:rFonts w:ascii="Arial" w:hAnsi="Arial" w:cs="Arial"/>
          <w:sz w:val="22"/>
          <w:szCs w:val="22"/>
        </w:rPr>
      </w:pPr>
      <w:r w:rsidRPr="00D2510F">
        <w:rPr>
          <w:rFonts w:ascii="Arial" w:hAnsi="Arial" w:cs="Arial"/>
          <w:sz w:val="22"/>
          <w:szCs w:val="22"/>
        </w:rPr>
        <w:t xml:space="preserve">A </w:t>
      </w:r>
      <w:r w:rsidRPr="00D2510F">
        <w:rPr>
          <w:rFonts w:ascii="Arial" w:hAnsi="Arial" w:cs="Arial"/>
          <w:b/>
          <w:sz w:val="22"/>
          <w:szCs w:val="22"/>
        </w:rPr>
        <w:t>Monitoring Plan</w:t>
      </w:r>
      <w:r w:rsidRPr="00D2510F">
        <w:rPr>
          <w:rFonts w:ascii="Arial" w:hAnsi="Arial" w:cs="Arial"/>
          <w:sz w:val="22"/>
          <w:szCs w:val="22"/>
        </w:rPr>
        <w:t xml:space="preserve"> will be developed by each Area Agency on Aging covering the specific period of time covered by the Area Plan.  This information will be provided through </w:t>
      </w:r>
      <w:r w:rsidRPr="00D2510F">
        <w:rPr>
          <w:rFonts w:ascii="Arial" w:hAnsi="Arial" w:cs="Arial"/>
          <w:b/>
          <w:sz w:val="22"/>
          <w:szCs w:val="22"/>
        </w:rPr>
        <w:t>Exhibit 14</w:t>
      </w:r>
      <w:r w:rsidRPr="00D2510F">
        <w:rPr>
          <w:rFonts w:ascii="Arial" w:hAnsi="Arial" w:cs="Arial"/>
          <w:sz w:val="22"/>
          <w:szCs w:val="22"/>
        </w:rPr>
        <w:t xml:space="preserve"> of the Area Plan, which identifies all community service providers within the Planning and Service Area (PSA) and the respective services each provides.  The plan will include all unit-based and non-</w:t>
      </w:r>
      <w:proofErr w:type="gramStart"/>
      <w:r w:rsidRPr="00D2510F">
        <w:rPr>
          <w:rFonts w:ascii="Arial" w:hAnsi="Arial" w:cs="Arial"/>
          <w:sz w:val="22"/>
          <w:szCs w:val="22"/>
        </w:rPr>
        <w:t>unit based</w:t>
      </w:r>
      <w:proofErr w:type="gramEnd"/>
      <w:r w:rsidRPr="00D2510F">
        <w:rPr>
          <w:rFonts w:ascii="Arial" w:hAnsi="Arial" w:cs="Arial"/>
          <w:sz w:val="22"/>
          <w:szCs w:val="22"/>
        </w:rPr>
        <w:t xml:space="preserve"> services.  When service providers or services change, the monitoring plan will be updated to reflect changes.  Updates will be consistent with area plan amendment time frames.  The monitoring plan will identify which community service providers will be reviewed in which year and by whom, (the Area Agency on Aging or Division of Aging and Adult Services staff).  Selection of which community service provider will be reviewed is based upon risk and need discussed below in item D.</w:t>
      </w:r>
    </w:p>
    <w:p w14:paraId="0F1BB512" w14:textId="77777777" w:rsidR="00CB19DE" w:rsidRPr="00D2510F" w:rsidRDefault="00CB19DE" w:rsidP="00CB19DE">
      <w:pPr>
        <w:pStyle w:val="BodyText"/>
        <w:ind w:left="1260" w:right="-396"/>
        <w:rPr>
          <w:rFonts w:ascii="Arial" w:hAnsi="Arial" w:cs="Arial"/>
        </w:rPr>
      </w:pPr>
      <w:r w:rsidRPr="00D2510F">
        <w:rPr>
          <w:rFonts w:ascii="Arial" w:hAnsi="Arial" w:cs="Arial"/>
        </w:rPr>
        <w:t xml:space="preserve">Annually, </w:t>
      </w:r>
      <w:r w:rsidRPr="00D2510F">
        <w:rPr>
          <w:rFonts w:ascii="Arial" w:hAnsi="Arial" w:cs="Arial"/>
          <w:u w:val="single"/>
        </w:rPr>
        <w:t>as part of the annual contracting process with counties</w:t>
      </w:r>
      <w:r w:rsidRPr="00D2510F">
        <w:rPr>
          <w:rFonts w:ascii="Arial" w:hAnsi="Arial" w:cs="Arial"/>
        </w:rPr>
        <w:t xml:space="preserve">, local providers must 1) complete and submit to the Area Agency on Aging </w:t>
      </w:r>
      <w:r w:rsidRPr="00D2510F">
        <w:rPr>
          <w:rFonts w:ascii="Arial" w:hAnsi="Arial" w:cs="Arial"/>
          <w:b/>
        </w:rPr>
        <w:t>Exhibit 14A</w:t>
      </w:r>
      <w:r w:rsidRPr="00D2510F">
        <w:rPr>
          <w:rFonts w:ascii="Arial" w:hAnsi="Arial" w:cs="Arial"/>
        </w:rPr>
        <w:t xml:space="preserve"> listing all subcontracts in place to provide community-based services to older adults and 2) submit copies of each subcontract to the Area Agency on Aging for review.  This includes contracting for the Home and Community Care Block Grant (HCCBG), Family Caregiver Support Program (FCSP) and any other funds passed to subcontractors.  As part of Exhibit 14A, providers must attest that their subcontractor(s) (public and non-profit entities only) meet the following requirements:</w:t>
      </w:r>
    </w:p>
    <w:p w14:paraId="34FE1A21" w14:textId="77777777" w:rsidR="00CB19DE" w:rsidRPr="00D2510F" w:rsidRDefault="00CB19DE" w:rsidP="00CB19DE">
      <w:pPr>
        <w:numPr>
          <w:ilvl w:val="0"/>
          <w:numId w:val="12"/>
        </w:numPr>
        <w:tabs>
          <w:tab w:val="clear" w:pos="720"/>
        </w:tabs>
        <w:spacing w:after="120"/>
        <w:ind w:left="1620"/>
        <w:jc w:val="both"/>
        <w:rPr>
          <w:rFonts w:cs="Arial"/>
          <w:sz w:val="22"/>
          <w:szCs w:val="22"/>
        </w:rPr>
      </w:pPr>
      <w:r w:rsidRPr="00D2510F">
        <w:rPr>
          <w:rFonts w:cs="Arial"/>
          <w:sz w:val="22"/>
          <w:szCs w:val="22"/>
        </w:rPr>
        <w:lastRenderedPageBreak/>
        <w:t xml:space="preserve">The subcontractor has not been suspended or debarred (G.S. §143C-6-23; 09 NCAC 03M). </w:t>
      </w:r>
    </w:p>
    <w:p w14:paraId="133D2C5F" w14:textId="77777777" w:rsidR="00CB19DE" w:rsidRPr="00D2510F" w:rsidRDefault="00CB19DE" w:rsidP="00CB19DE">
      <w:pPr>
        <w:numPr>
          <w:ilvl w:val="0"/>
          <w:numId w:val="12"/>
        </w:numPr>
        <w:tabs>
          <w:tab w:val="clear" w:pos="720"/>
          <w:tab w:val="num" w:pos="1440"/>
        </w:tabs>
        <w:spacing w:after="120"/>
        <w:ind w:left="1620"/>
        <w:jc w:val="both"/>
        <w:rPr>
          <w:rFonts w:cs="Arial"/>
          <w:sz w:val="22"/>
          <w:szCs w:val="22"/>
        </w:rPr>
      </w:pPr>
      <w:r w:rsidRPr="00D2510F">
        <w:rPr>
          <w:rFonts w:cs="Arial"/>
          <w:sz w:val="22"/>
          <w:szCs w:val="22"/>
        </w:rPr>
        <w:t xml:space="preserve">The subcontractor has not been barred from doing business at the federal level.   </w:t>
      </w:r>
    </w:p>
    <w:p w14:paraId="2CDBFDD2" w14:textId="77777777" w:rsidR="00CB19DE" w:rsidRPr="00D2510F" w:rsidRDefault="00CB19DE" w:rsidP="00CB19DE">
      <w:pPr>
        <w:numPr>
          <w:ilvl w:val="0"/>
          <w:numId w:val="12"/>
        </w:numPr>
        <w:tabs>
          <w:tab w:val="clear" w:pos="720"/>
          <w:tab w:val="num" w:pos="1440"/>
        </w:tabs>
        <w:spacing w:after="120"/>
        <w:ind w:left="1620"/>
        <w:jc w:val="both"/>
        <w:rPr>
          <w:rFonts w:cs="Arial"/>
          <w:sz w:val="22"/>
          <w:szCs w:val="22"/>
        </w:rPr>
      </w:pPr>
      <w:r w:rsidRPr="00D2510F">
        <w:rPr>
          <w:rFonts w:cs="Arial"/>
          <w:sz w:val="22"/>
          <w:szCs w:val="22"/>
        </w:rPr>
        <w:t xml:space="preserve"> </w:t>
      </w:r>
      <w:r w:rsidRPr="00D2510F">
        <w:rPr>
          <w:rFonts w:cs="Arial"/>
          <w:sz w:val="22"/>
          <w:szCs w:val="22"/>
        </w:rPr>
        <w:tab/>
        <w:t>The subcontractor is able to produce a notarized “</w:t>
      </w:r>
      <w:r w:rsidRPr="00D2510F">
        <w:rPr>
          <w:rFonts w:cs="Arial"/>
          <w:i/>
          <w:sz w:val="22"/>
          <w:szCs w:val="22"/>
        </w:rPr>
        <w:t xml:space="preserve">State Grant Certification of No Overdue Tax Debts”.  </w:t>
      </w:r>
    </w:p>
    <w:p w14:paraId="0EA53BCE" w14:textId="77777777" w:rsidR="00CB19DE" w:rsidRPr="00D2510F" w:rsidRDefault="00CB19DE" w:rsidP="00CB19DE">
      <w:pPr>
        <w:numPr>
          <w:ilvl w:val="0"/>
          <w:numId w:val="12"/>
        </w:numPr>
        <w:tabs>
          <w:tab w:val="clear" w:pos="720"/>
          <w:tab w:val="num" w:pos="1440"/>
        </w:tabs>
        <w:spacing w:after="120"/>
        <w:ind w:left="1620"/>
        <w:jc w:val="both"/>
        <w:rPr>
          <w:rFonts w:cs="Arial"/>
          <w:sz w:val="22"/>
          <w:szCs w:val="22"/>
        </w:rPr>
      </w:pPr>
      <w:r w:rsidRPr="00D2510F">
        <w:rPr>
          <w:rFonts w:cs="Arial"/>
          <w:sz w:val="22"/>
          <w:szCs w:val="22"/>
        </w:rPr>
        <w:t xml:space="preserve">All licenses, permits, bonds and insurance necessary for carrying out Home and Community Care Block Grant Services will be maintained by the community service provider. </w:t>
      </w:r>
    </w:p>
    <w:p w14:paraId="73F4117E" w14:textId="77777777" w:rsidR="00CB19DE" w:rsidRPr="00D2510F" w:rsidRDefault="00CB19DE" w:rsidP="00CB19DE">
      <w:pPr>
        <w:numPr>
          <w:ilvl w:val="0"/>
          <w:numId w:val="12"/>
        </w:numPr>
        <w:tabs>
          <w:tab w:val="clear" w:pos="720"/>
          <w:tab w:val="num" w:pos="1440"/>
        </w:tabs>
        <w:spacing w:after="120"/>
        <w:ind w:left="1620"/>
        <w:rPr>
          <w:rFonts w:cs="Arial"/>
          <w:sz w:val="22"/>
          <w:szCs w:val="22"/>
        </w:rPr>
      </w:pPr>
      <w:r w:rsidRPr="00D2510F">
        <w:rPr>
          <w:rFonts w:cs="Arial"/>
          <w:sz w:val="22"/>
          <w:szCs w:val="22"/>
        </w:rPr>
        <w:t>The subcontractor has provided a copy of their business license (For-Profit Subcontractors only).</w:t>
      </w:r>
    </w:p>
    <w:p w14:paraId="75500FCC" w14:textId="77777777" w:rsidR="00CB19DE" w:rsidRPr="00D2510F" w:rsidRDefault="00CB19DE" w:rsidP="00CB19DE">
      <w:pPr>
        <w:numPr>
          <w:ilvl w:val="0"/>
          <w:numId w:val="12"/>
        </w:numPr>
        <w:tabs>
          <w:tab w:val="clear" w:pos="720"/>
          <w:tab w:val="num" w:pos="1440"/>
        </w:tabs>
        <w:spacing w:after="120"/>
        <w:ind w:left="1620"/>
        <w:jc w:val="both"/>
        <w:rPr>
          <w:rFonts w:cs="Arial"/>
          <w:sz w:val="22"/>
          <w:szCs w:val="22"/>
        </w:rPr>
      </w:pPr>
      <w:r w:rsidRPr="00D2510F">
        <w:rPr>
          <w:rFonts w:cs="Arial"/>
          <w:sz w:val="22"/>
          <w:szCs w:val="22"/>
        </w:rPr>
        <w:t xml:space="preserve"> </w:t>
      </w:r>
      <w:r w:rsidRPr="00D2510F">
        <w:rPr>
          <w:rFonts w:cs="Arial"/>
          <w:sz w:val="22"/>
          <w:szCs w:val="22"/>
        </w:rPr>
        <w:tab/>
        <w:t>The subcontractor is registered as a charitable (501c3) organization with the federal government. (Non-Profit Subcontractors only).</w:t>
      </w:r>
    </w:p>
    <w:p w14:paraId="1B7AFD39" w14:textId="77777777" w:rsidR="00CB19DE" w:rsidRPr="00DB7744" w:rsidRDefault="00CB19DE" w:rsidP="00CB19DE">
      <w:pPr>
        <w:pStyle w:val="BodyText"/>
        <w:ind w:left="1260" w:right="-396"/>
        <w:rPr>
          <w:rFonts w:ascii="Arial" w:hAnsi="Arial" w:cs="Arial"/>
        </w:rPr>
      </w:pPr>
      <w:r w:rsidRPr="00D2510F">
        <w:rPr>
          <w:rFonts w:ascii="Arial" w:hAnsi="Arial" w:cs="Arial"/>
        </w:rPr>
        <w:t xml:space="preserve">The Division of Aging and Adult Services provides prescriptive monitoring instruments for all community-based services.  These programmatic monitoring instruments can be found on the DAAS website at </w:t>
      </w:r>
      <w:hyperlink r:id="rId7" w:history="1">
        <w:r w:rsidRPr="00D2510F">
          <w:rPr>
            <w:rStyle w:val="Hyperlink"/>
            <w:rFonts w:ascii="Arial" w:hAnsi="Arial" w:cs="Arial"/>
          </w:rPr>
          <w:t>https://www.ncdhhs.gov/divisions/daas/monitoring</w:t>
        </w:r>
      </w:hyperlink>
      <w:r w:rsidRPr="00D2510F">
        <w:rPr>
          <w:rFonts w:ascii="Arial" w:hAnsi="Arial" w:cs="Arial"/>
        </w:rPr>
        <w:t xml:space="preserve"> and are to be utilized by Area Agencies on Aging for monitoring community-based programs for older adults.  This site provides both Programmatic Monitoring Tools and Compliance Supplement Monitoring Tools to be utilized by Area Agencies on Aging (or service providers who are </w:t>
      </w:r>
      <w:r w:rsidRPr="00DB7744">
        <w:rPr>
          <w:rFonts w:ascii="Arial" w:hAnsi="Arial" w:cs="Arial"/>
        </w:rPr>
        <w:t>monitoring their subcontractors) for monitoring community-based programs for older adults.</w:t>
      </w:r>
    </w:p>
    <w:p w14:paraId="58512DC6" w14:textId="77777777" w:rsidR="00CB19DE" w:rsidRPr="001A22BD" w:rsidRDefault="00CB19DE" w:rsidP="00CB19DE">
      <w:pPr>
        <w:pStyle w:val="BlockText"/>
        <w:spacing w:after="240"/>
        <w:ind w:left="1260" w:right="-396"/>
        <w:rPr>
          <w:rFonts w:cs="Arial"/>
          <w:sz w:val="22"/>
          <w:szCs w:val="22"/>
        </w:rPr>
      </w:pPr>
      <w:r w:rsidRPr="00DB7744">
        <w:rPr>
          <w:rFonts w:cs="Arial"/>
          <w:sz w:val="22"/>
          <w:szCs w:val="22"/>
        </w:rPr>
        <w:t xml:space="preserve">Uniform Guidance 2 CFR Part 200 outlines </w:t>
      </w:r>
      <w:r>
        <w:rPr>
          <w:rFonts w:cs="Arial"/>
          <w:sz w:val="22"/>
          <w:szCs w:val="22"/>
        </w:rPr>
        <w:t>the</w:t>
      </w:r>
      <w:r w:rsidRPr="00D2510F">
        <w:rPr>
          <w:rFonts w:cs="Arial"/>
          <w:sz w:val="22"/>
          <w:szCs w:val="22"/>
        </w:rPr>
        <w:t xml:space="preserve"> </w:t>
      </w:r>
      <w:r>
        <w:rPr>
          <w:rFonts w:cs="Arial"/>
          <w:sz w:val="22"/>
          <w:szCs w:val="22"/>
        </w:rPr>
        <w:t>audit supplement criteria</w:t>
      </w:r>
      <w:r w:rsidRPr="00D2510F">
        <w:rPr>
          <w:rFonts w:cs="Arial"/>
          <w:sz w:val="22"/>
          <w:szCs w:val="22"/>
        </w:rPr>
        <w:t xml:space="preserve"> required areas of compliance monitoring by fund source.  Complementary tools to the programmatic monitoring instruments are used to document compliance with </w:t>
      </w:r>
      <w:r w:rsidRPr="00E66548">
        <w:rPr>
          <w:rFonts w:cs="Arial"/>
          <w:sz w:val="22"/>
          <w:szCs w:val="22"/>
        </w:rPr>
        <w:t xml:space="preserve">the </w:t>
      </w:r>
      <w:r w:rsidRPr="00F34A98">
        <w:rPr>
          <w:rFonts w:cs="Arial"/>
          <w:sz w:val="22"/>
          <w:szCs w:val="22"/>
        </w:rPr>
        <w:t xml:space="preserve">relevant compliance </w:t>
      </w:r>
      <w:r w:rsidRPr="00E66548">
        <w:rPr>
          <w:rFonts w:cs="Arial"/>
          <w:sz w:val="22"/>
          <w:szCs w:val="22"/>
        </w:rPr>
        <w:t xml:space="preserve">requirements and compliance with the conflict of interest requirement for non-profit entities.  These tools are to be completed, by funding </w:t>
      </w:r>
      <w:proofErr w:type="gramStart"/>
      <w:r w:rsidRPr="00E66548">
        <w:rPr>
          <w:rFonts w:cs="Arial"/>
          <w:sz w:val="22"/>
          <w:szCs w:val="22"/>
        </w:rPr>
        <w:t>source, once</w:t>
      </w:r>
      <w:proofErr w:type="gramEnd"/>
      <w:r w:rsidRPr="00E66548">
        <w:rPr>
          <w:rFonts w:cs="Arial"/>
          <w:sz w:val="22"/>
          <w:szCs w:val="22"/>
        </w:rPr>
        <w:t xml:space="preserve"> programmatic monitoring is completed.  The results from </w:t>
      </w:r>
      <w:r w:rsidRPr="00003001">
        <w:rPr>
          <w:rFonts w:cs="Arial"/>
          <w:sz w:val="22"/>
          <w:szCs w:val="22"/>
        </w:rPr>
        <w:t>these reviews are documented in the monitoring report to the community service provider (subrecipient).</w:t>
      </w:r>
    </w:p>
    <w:p w14:paraId="3D55FC5E" w14:textId="77777777" w:rsidR="00CB19DE" w:rsidRPr="00D2510F" w:rsidRDefault="00CB19DE" w:rsidP="00CB19DE">
      <w:pPr>
        <w:pStyle w:val="Header"/>
        <w:numPr>
          <w:ilvl w:val="0"/>
          <w:numId w:val="1"/>
        </w:numPr>
        <w:tabs>
          <w:tab w:val="clear" w:pos="1080"/>
          <w:tab w:val="clear" w:pos="4680"/>
          <w:tab w:val="clear" w:pos="9360"/>
        </w:tabs>
        <w:spacing w:after="120"/>
        <w:ind w:left="1260"/>
        <w:rPr>
          <w:rFonts w:ascii="Arial" w:hAnsi="Arial" w:cs="Arial"/>
          <w:sz w:val="22"/>
          <w:szCs w:val="22"/>
        </w:rPr>
      </w:pPr>
      <w:r w:rsidRPr="001A22BD">
        <w:rPr>
          <w:rFonts w:ascii="Arial" w:hAnsi="Arial" w:cs="Arial"/>
          <w:b/>
          <w:sz w:val="22"/>
          <w:szCs w:val="22"/>
        </w:rPr>
        <w:t>Unit verifications</w:t>
      </w:r>
      <w:r w:rsidRPr="001A22BD">
        <w:rPr>
          <w:rFonts w:ascii="Arial" w:hAnsi="Arial" w:cs="Arial"/>
          <w:sz w:val="22"/>
          <w:szCs w:val="22"/>
        </w:rPr>
        <w:t xml:space="preserve"> will be performed as needed but at least every other year for all aging services provided by each community service provider.  This process </w:t>
      </w:r>
      <w:r w:rsidRPr="00F34A98">
        <w:rPr>
          <w:rFonts w:ascii="Arial" w:hAnsi="Arial" w:cs="Arial"/>
          <w:sz w:val="22"/>
          <w:szCs w:val="22"/>
        </w:rPr>
        <w:t>may</w:t>
      </w:r>
      <w:r w:rsidRPr="00E66548">
        <w:rPr>
          <w:rFonts w:ascii="Arial" w:hAnsi="Arial" w:cs="Arial"/>
          <w:sz w:val="22"/>
          <w:szCs w:val="22"/>
        </w:rPr>
        <w:t xml:space="preserve"> be conducted </w:t>
      </w:r>
      <w:r w:rsidRPr="00F34A98">
        <w:rPr>
          <w:rFonts w:ascii="Arial" w:hAnsi="Arial" w:cs="Arial"/>
          <w:sz w:val="22"/>
          <w:szCs w:val="22"/>
        </w:rPr>
        <w:t>on-site, as a desk review, or virtually, depending upon circumstances</w:t>
      </w:r>
      <w:r w:rsidRPr="00E66548">
        <w:rPr>
          <w:rFonts w:ascii="Arial" w:hAnsi="Arial" w:cs="Arial"/>
          <w:sz w:val="22"/>
          <w:szCs w:val="22"/>
        </w:rPr>
        <w:t xml:space="preserve">.  </w:t>
      </w:r>
      <w:r w:rsidRPr="00D2510F">
        <w:rPr>
          <w:rFonts w:ascii="Arial" w:hAnsi="Arial" w:cs="Arial"/>
          <w:sz w:val="22"/>
          <w:szCs w:val="22"/>
        </w:rPr>
        <w:t>The Area Agency Aging will develop an audit trail from the names/units reported on the Units of Verification Report (ZGA-USV) to the basic source documentation {case files, travel logs, log sheets, time sheets, sign-in sheets, etc.}.  This audit trail will be followed for each name/units sampled. In addition to a review of basic source documentation, the Area Agency on Aging (or service provider monitoring their subcontractors) will review client records to verify the eligibility of the clients in the sample who receive services.</w:t>
      </w:r>
    </w:p>
    <w:p w14:paraId="26BF6A28" w14:textId="77777777" w:rsidR="00CB19DE" w:rsidRPr="00D2510F" w:rsidRDefault="00CB19DE" w:rsidP="00CB19DE">
      <w:pPr>
        <w:pStyle w:val="Header"/>
        <w:spacing w:after="240"/>
        <w:ind w:left="1260"/>
        <w:rPr>
          <w:rFonts w:ascii="Arial" w:hAnsi="Arial" w:cs="Arial"/>
          <w:sz w:val="22"/>
          <w:szCs w:val="22"/>
        </w:rPr>
      </w:pPr>
      <w:r w:rsidRPr="00D2510F">
        <w:rPr>
          <w:rFonts w:ascii="Arial" w:hAnsi="Arial" w:cs="Arial"/>
          <w:sz w:val="22"/>
          <w:szCs w:val="22"/>
        </w:rPr>
        <w:t>A Base Sample will be drawn for each aging service provided by a respective community service provider.  The following Base Sample guidelines will be employed:</w:t>
      </w:r>
    </w:p>
    <w:tbl>
      <w:tblPr>
        <w:tblW w:w="7920" w:type="dxa"/>
        <w:tblCellSpacing w:w="7" w:type="dxa"/>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130" w:type="dxa"/>
        </w:tblCellMar>
        <w:tblLook w:val="0000" w:firstRow="0" w:lastRow="0" w:firstColumn="0" w:lastColumn="0" w:noHBand="0" w:noVBand="0"/>
      </w:tblPr>
      <w:tblGrid>
        <w:gridCol w:w="4220"/>
        <w:gridCol w:w="3700"/>
      </w:tblGrid>
      <w:tr w:rsidR="00CB19DE" w:rsidRPr="00D2510F" w14:paraId="2D5CBF49" w14:textId="77777777" w:rsidTr="009E0F1E">
        <w:trPr>
          <w:trHeight w:val="20"/>
          <w:tblCellSpacing w:w="7" w:type="dxa"/>
        </w:trPr>
        <w:tc>
          <w:tcPr>
            <w:tcW w:w="4199" w:type="dxa"/>
          </w:tcPr>
          <w:p w14:paraId="1858495D" w14:textId="77777777" w:rsidR="00CB19DE" w:rsidRPr="00D2510F" w:rsidRDefault="00CB19DE" w:rsidP="009E0F1E">
            <w:pPr>
              <w:pStyle w:val="Header"/>
              <w:jc w:val="right"/>
              <w:rPr>
                <w:rFonts w:ascii="Arial" w:hAnsi="Arial" w:cs="Arial"/>
                <w:sz w:val="21"/>
                <w:szCs w:val="22"/>
              </w:rPr>
            </w:pPr>
            <w:r w:rsidRPr="00D2510F">
              <w:rPr>
                <w:rFonts w:ascii="Arial" w:hAnsi="Arial" w:cs="Arial"/>
                <w:sz w:val="21"/>
                <w:szCs w:val="22"/>
              </w:rPr>
              <w:t>Total Number of Clients Served by Service</w:t>
            </w:r>
          </w:p>
        </w:tc>
        <w:tc>
          <w:tcPr>
            <w:tcW w:w="3679" w:type="dxa"/>
          </w:tcPr>
          <w:p w14:paraId="0E033D8B" w14:textId="77777777" w:rsidR="00CB19DE" w:rsidRPr="00D2510F" w:rsidRDefault="00CB19DE" w:rsidP="009E0F1E">
            <w:pPr>
              <w:pStyle w:val="Header"/>
              <w:ind w:left="-2"/>
              <w:rPr>
                <w:rFonts w:ascii="Arial" w:hAnsi="Arial" w:cs="Arial"/>
                <w:sz w:val="21"/>
                <w:szCs w:val="22"/>
              </w:rPr>
            </w:pPr>
            <w:r w:rsidRPr="00D2510F">
              <w:rPr>
                <w:rFonts w:ascii="Arial" w:hAnsi="Arial" w:cs="Arial"/>
                <w:sz w:val="21"/>
                <w:szCs w:val="22"/>
              </w:rPr>
              <w:t>Base Sample Size Per Service</w:t>
            </w:r>
          </w:p>
        </w:tc>
      </w:tr>
      <w:tr w:rsidR="00CB19DE" w:rsidRPr="00D2510F" w14:paraId="226A0F32" w14:textId="77777777" w:rsidTr="009E0F1E">
        <w:trPr>
          <w:trHeight w:val="20"/>
          <w:tblCellSpacing w:w="7" w:type="dxa"/>
        </w:trPr>
        <w:tc>
          <w:tcPr>
            <w:tcW w:w="4199" w:type="dxa"/>
          </w:tcPr>
          <w:p w14:paraId="5A23196D" w14:textId="77777777" w:rsidR="00CB19DE" w:rsidRPr="00D2510F" w:rsidRDefault="00CB19DE" w:rsidP="009E0F1E">
            <w:pPr>
              <w:pStyle w:val="Header"/>
              <w:ind w:left="67" w:firstLine="5"/>
              <w:jc w:val="right"/>
              <w:rPr>
                <w:rFonts w:ascii="Arial" w:hAnsi="Arial" w:cs="Arial"/>
                <w:sz w:val="21"/>
                <w:szCs w:val="22"/>
              </w:rPr>
            </w:pPr>
            <w:r w:rsidRPr="00D2510F">
              <w:rPr>
                <w:rFonts w:ascii="Arial" w:hAnsi="Arial" w:cs="Arial"/>
                <w:sz w:val="21"/>
                <w:szCs w:val="22"/>
              </w:rPr>
              <w:t>1 – 10 clients</w:t>
            </w:r>
          </w:p>
        </w:tc>
        <w:tc>
          <w:tcPr>
            <w:tcW w:w="3679" w:type="dxa"/>
          </w:tcPr>
          <w:p w14:paraId="0F93567F" w14:textId="77777777" w:rsidR="00CB19DE" w:rsidRPr="00D2510F" w:rsidRDefault="00CB19DE" w:rsidP="009E0F1E">
            <w:pPr>
              <w:pStyle w:val="Header"/>
              <w:ind w:left="-2"/>
              <w:rPr>
                <w:rFonts w:ascii="Arial" w:hAnsi="Arial" w:cs="Arial"/>
                <w:sz w:val="21"/>
                <w:szCs w:val="22"/>
              </w:rPr>
            </w:pPr>
            <w:r w:rsidRPr="00D2510F">
              <w:rPr>
                <w:rFonts w:ascii="Arial" w:hAnsi="Arial" w:cs="Arial"/>
                <w:sz w:val="21"/>
                <w:szCs w:val="22"/>
              </w:rPr>
              <w:t>All clients served</w:t>
            </w:r>
          </w:p>
        </w:tc>
      </w:tr>
      <w:tr w:rsidR="00CB19DE" w:rsidRPr="00D2510F" w14:paraId="1B82FE11" w14:textId="77777777" w:rsidTr="009E0F1E">
        <w:trPr>
          <w:trHeight w:val="20"/>
          <w:tblCellSpacing w:w="7" w:type="dxa"/>
        </w:trPr>
        <w:tc>
          <w:tcPr>
            <w:tcW w:w="4199" w:type="dxa"/>
          </w:tcPr>
          <w:p w14:paraId="59D5A876" w14:textId="77777777" w:rsidR="00CB19DE" w:rsidRPr="00D2510F" w:rsidRDefault="00CB19DE" w:rsidP="009E0F1E">
            <w:pPr>
              <w:pStyle w:val="Header"/>
              <w:ind w:left="67" w:firstLine="5"/>
              <w:jc w:val="right"/>
              <w:rPr>
                <w:rFonts w:ascii="Arial" w:hAnsi="Arial" w:cs="Arial"/>
                <w:sz w:val="21"/>
                <w:szCs w:val="22"/>
              </w:rPr>
            </w:pPr>
            <w:r w:rsidRPr="00D2510F">
              <w:rPr>
                <w:rFonts w:ascii="Arial" w:hAnsi="Arial" w:cs="Arial"/>
                <w:sz w:val="21"/>
                <w:szCs w:val="22"/>
              </w:rPr>
              <w:t>11 – 100 clients</w:t>
            </w:r>
          </w:p>
        </w:tc>
        <w:tc>
          <w:tcPr>
            <w:tcW w:w="3679" w:type="dxa"/>
          </w:tcPr>
          <w:p w14:paraId="74AC92A7" w14:textId="77777777" w:rsidR="00CB19DE" w:rsidRPr="00D2510F" w:rsidRDefault="00CB19DE" w:rsidP="009E0F1E">
            <w:pPr>
              <w:pStyle w:val="Header"/>
              <w:ind w:left="-2"/>
              <w:rPr>
                <w:rFonts w:ascii="Arial" w:hAnsi="Arial" w:cs="Arial"/>
                <w:sz w:val="21"/>
                <w:szCs w:val="22"/>
              </w:rPr>
            </w:pPr>
            <w:r w:rsidRPr="00D2510F">
              <w:rPr>
                <w:rFonts w:ascii="Arial" w:hAnsi="Arial" w:cs="Arial"/>
                <w:sz w:val="21"/>
                <w:szCs w:val="22"/>
              </w:rPr>
              <w:t>No less than 10 of the clients served</w:t>
            </w:r>
          </w:p>
        </w:tc>
      </w:tr>
      <w:tr w:rsidR="00CB19DE" w:rsidRPr="00D2510F" w14:paraId="64E5250F" w14:textId="77777777" w:rsidTr="009E0F1E">
        <w:trPr>
          <w:trHeight w:val="20"/>
          <w:tblCellSpacing w:w="7" w:type="dxa"/>
        </w:trPr>
        <w:tc>
          <w:tcPr>
            <w:tcW w:w="4199" w:type="dxa"/>
          </w:tcPr>
          <w:p w14:paraId="0B598D26" w14:textId="77777777" w:rsidR="00CB19DE" w:rsidRPr="00D2510F" w:rsidRDefault="00CB19DE" w:rsidP="009E0F1E">
            <w:pPr>
              <w:pStyle w:val="Header"/>
              <w:ind w:left="67" w:firstLine="5"/>
              <w:jc w:val="right"/>
              <w:rPr>
                <w:rFonts w:ascii="Arial" w:hAnsi="Arial" w:cs="Arial"/>
                <w:sz w:val="21"/>
                <w:szCs w:val="22"/>
              </w:rPr>
            </w:pPr>
            <w:r w:rsidRPr="00D2510F">
              <w:rPr>
                <w:rFonts w:ascii="Arial" w:hAnsi="Arial" w:cs="Arial"/>
                <w:sz w:val="21"/>
                <w:szCs w:val="22"/>
              </w:rPr>
              <w:t>101 – 250 clients</w:t>
            </w:r>
          </w:p>
        </w:tc>
        <w:tc>
          <w:tcPr>
            <w:tcW w:w="3679" w:type="dxa"/>
          </w:tcPr>
          <w:p w14:paraId="05889C69" w14:textId="77777777" w:rsidR="00CB19DE" w:rsidRPr="00D2510F" w:rsidRDefault="00CB19DE" w:rsidP="009E0F1E">
            <w:pPr>
              <w:pStyle w:val="Header"/>
              <w:ind w:left="-2"/>
              <w:rPr>
                <w:rFonts w:ascii="Arial" w:hAnsi="Arial" w:cs="Arial"/>
                <w:sz w:val="21"/>
                <w:szCs w:val="22"/>
              </w:rPr>
            </w:pPr>
            <w:r w:rsidRPr="00D2510F">
              <w:rPr>
                <w:rFonts w:ascii="Arial" w:hAnsi="Arial" w:cs="Arial"/>
                <w:sz w:val="21"/>
                <w:szCs w:val="22"/>
              </w:rPr>
              <w:t>10% of the clients served</w:t>
            </w:r>
          </w:p>
        </w:tc>
      </w:tr>
      <w:tr w:rsidR="00CB19DE" w:rsidRPr="00D2510F" w14:paraId="23D77742" w14:textId="77777777" w:rsidTr="009E0F1E">
        <w:trPr>
          <w:trHeight w:val="20"/>
          <w:tblCellSpacing w:w="7" w:type="dxa"/>
        </w:trPr>
        <w:tc>
          <w:tcPr>
            <w:tcW w:w="4199" w:type="dxa"/>
          </w:tcPr>
          <w:p w14:paraId="45CBA423" w14:textId="77777777" w:rsidR="00CB19DE" w:rsidRPr="00D2510F" w:rsidRDefault="00CB19DE" w:rsidP="009E0F1E">
            <w:pPr>
              <w:pStyle w:val="Header"/>
              <w:ind w:left="67" w:firstLine="5"/>
              <w:jc w:val="right"/>
              <w:rPr>
                <w:rFonts w:ascii="Arial" w:hAnsi="Arial" w:cs="Arial"/>
                <w:sz w:val="21"/>
                <w:szCs w:val="22"/>
              </w:rPr>
            </w:pPr>
            <w:r w:rsidRPr="00D2510F">
              <w:rPr>
                <w:rFonts w:ascii="Arial" w:hAnsi="Arial" w:cs="Arial"/>
                <w:sz w:val="21"/>
                <w:szCs w:val="22"/>
              </w:rPr>
              <w:lastRenderedPageBreak/>
              <w:t>251 – 500 clients</w:t>
            </w:r>
          </w:p>
        </w:tc>
        <w:tc>
          <w:tcPr>
            <w:tcW w:w="3679" w:type="dxa"/>
          </w:tcPr>
          <w:p w14:paraId="3064BDF0" w14:textId="77777777" w:rsidR="00CB19DE" w:rsidRPr="00D2510F" w:rsidRDefault="00CB19DE" w:rsidP="009E0F1E">
            <w:pPr>
              <w:pStyle w:val="Header"/>
              <w:ind w:left="-2"/>
              <w:rPr>
                <w:rFonts w:ascii="Arial" w:hAnsi="Arial" w:cs="Arial"/>
                <w:sz w:val="21"/>
                <w:szCs w:val="22"/>
              </w:rPr>
            </w:pPr>
            <w:r w:rsidRPr="00D2510F">
              <w:rPr>
                <w:rFonts w:ascii="Arial" w:hAnsi="Arial" w:cs="Arial"/>
                <w:sz w:val="21"/>
                <w:szCs w:val="22"/>
              </w:rPr>
              <w:t>7% of the clients served</w:t>
            </w:r>
          </w:p>
        </w:tc>
      </w:tr>
      <w:tr w:rsidR="00CB19DE" w:rsidRPr="00D2510F" w14:paraId="4E757E3C" w14:textId="77777777" w:rsidTr="009E0F1E">
        <w:trPr>
          <w:trHeight w:val="20"/>
          <w:tblCellSpacing w:w="7" w:type="dxa"/>
        </w:trPr>
        <w:tc>
          <w:tcPr>
            <w:tcW w:w="4199" w:type="dxa"/>
          </w:tcPr>
          <w:p w14:paraId="1C06D501" w14:textId="77777777" w:rsidR="00CB19DE" w:rsidRPr="00D2510F" w:rsidRDefault="00CB19DE" w:rsidP="009E0F1E">
            <w:pPr>
              <w:pStyle w:val="Header"/>
              <w:ind w:left="67" w:firstLine="5"/>
              <w:jc w:val="right"/>
              <w:rPr>
                <w:rFonts w:ascii="Arial" w:hAnsi="Arial" w:cs="Arial"/>
                <w:sz w:val="21"/>
                <w:szCs w:val="22"/>
              </w:rPr>
            </w:pPr>
            <w:r w:rsidRPr="00D2510F">
              <w:rPr>
                <w:rFonts w:ascii="Arial" w:hAnsi="Arial" w:cs="Arial"/>
                <w:sz w:val="21"/>
                <w:szCs w:val="22"/>
              </w:rPr>
              <w:t>501 – 1000 clients</w:t>
            </w:r>
          </w:p>
        </w:tc>
        <w:tc>
          <w:tcPr>
            <w:tcW w:w="3679" w:type="dxa"/>
          </w:tcPr>
          <w:p w14:paraId="4D26396A" w14:textId="77777777" w:rsidR="00CB19DE" w:rsidRPr="00D2510F" w:rsidRDefault="00CB19DE" w:rsidP="009E0F1E">
            <w:pPr>
              <w:pStyle w:val="Header"/>
              <w:ind w:left="-2"/>
              <w:rPr>
                <w:rFonts w:ascii="Arial" w:hAnsi="Arial" w:cs="Arial"/>
                <w:sz w:val="21"/>
                <w:szCs w:val="22"/>
              </w:rPr>
            </w:pPr>
            <w:r w:rsidRPr="00D2510F">
              <w:rPr>
                <w:rFonts w:ascii="Arial" w:hAnsi="Arial" w:cs="Arial"/>
                <w:sz w:val="21"/>
                <w:szCs w:val="22"/>
              </w:rPr>
              <w:t>6% of the clients served</w:t>
            </w:r>
          </w:p>
        </w:tc>
      </w:tr>
      <w:tr w:rsidR="00CB19DE" w:rsidRPr="00D2510F" w14:paraId="6EA6DD36" w14:textId="77777777" w:rsidTr="009E0F1E">
        <w:trPr>
          <w:trHeight w:val="20"/>
          <w:tblCellSpacing w:w="7" w:type="dxa"/>
        </w:trPr>
        <w:tc>
          <w:tcPr>
            <w:tcW w:w="4199" w:type="dxa"/>
          </w:tcPr>
          <w:p w14:paraId="0C789EC3" w14:textId="77777777" w:rsidR="00CB19DE" w:rsidRPr="00D2510F" w:rsidRDefault="00CB19DE" w:rsidP="009E0F1E">
            <w:pPr>
              <w:pStyle w:val="Header"/>
              <w:ind w:left="67" w:firstLine="5"/>
              <w:jc w:val="right"/>
              <w:rPr>
                <w:rFonts w:ascii="Arial" w:hAnsi="Arial" w:cs="Arial"/>
                <w:sz w:val="21"/>
                <w:szCs w:val="22"/>
              </w:rPr>
            </w:pPr>
            <w:r w:rsidRPr="00D2510F">
              <w:rPr>
                <w:rFonts w:ascii="Arial" w:hAnsi="Arial" w:cs="Arial"/>
                <w:sz w:val="21"/>
                <w:szCs w:val="22"/>
              </w:rPr>
              <w:t>1001 – 2000 clients</w:t>
            </w:r>
          </w:p>
        </w:tc>
        <w:tc>
          <w:tcPr>
            <w:tcW w:w="3679" w:type="dxa"/>
          </w:tcPr>
          <w:p w14:paraId="0A6F65F3" w14:textId="77777777" w:rsidR="00CB19DE" w:rsidRPr="00D2510F" w:rsidRDefault="00CB19DE" w:rsidP="009E0F1E">
            <w:pPr>
              <w:pStyle w:val="Header"/>
              <w:ind w:left="-2"/>
              <w:rPr>
                <w:rFonts w:ascii="Arial" w:hAnsi="Arial" w:cs="Arial"/>
                <w:sz w:val="21"/>
                <w:szCs w:val="22"/>
              </w:rPr>
            </w:pPr>
            <w:r w:rsidRPr="00D2510F">
              <w:rPr>
                <w:rFonts w:ascii="Arial" w:hAnsi="Arial" w:cs="Arial"/>
                <w:sz w:val="21"/>
                <w:szCs w:val="22"/>
              </w:rPr>
              <w:t>4% of the clients served</w:t>
            </w:r>
          </w:p>
        </w:tc>
      </w:tr>
      <w:tr w:rsidR="00CB19DE" w:rsidRPr="00D2510F" w14:paraId="42946460" w14:textId="77777777" w:rsidTr="009E0F1E">
        <w:trPr>
          <w:trHeight w:val="20"/>
          <w:tblCellSpacing w:w="7" w:type="dxa"/>
        </w:trPr>
        <w:tc>
          <w:tcPr>
            <w:tcW w:w="4199" w:type="dxa"/>
          </w:tcPr>
          <w:p w14:paraId="12815AD4" w14:textId="77777777" w:rsidR="00CB19DE" w:rsidRPr="00D2510F" w:rsidRDefault="00CB19DE" w:rsidP="009E0F1E">
            <w:pPr>
              <w:pStyle w:val="Header"/>
              <w:ind w:left="67" w:firstLine="5"/>
              <w:jc w:val="right"/>
              <w:rPr>
                <w:rFonts w:ascii="Arial" w:hAnsi="Arial" w:cs="Arial"/>
                <w:sz w:val="21"/>
                <w:szCs w:val="22"/>
              </w:rPr>
            </w:pPr>
            <w:r w:rsidRPr="00D2510F">
              <w:rPr>
                <w:rFonts w:ascii="Arial" w:hAnsi="Arial" w:cs="Arial"/>
                <w:sz w:val="21"/>
                <w:szCs w:val="22"/>
              </w:rPr>
              <w:t>2001 – or more clients</w:t>
            </w:r>
          </w:p>
        </w:tc>
        <w:tc>
          <w:tcPr>
            <w:tcW w:w="3679" w:type="dxa"/>
          </w:tcPr>
          <w:p w14:paraId="07863463" w14:textId="77777777" w:rsidR="00CB19DE" w:rsidRPr="00D2510F" w:rsidRDefault="00CB19DE" w:rsidP="009E0F1E">
            <w:pPr>
              <w:pStyle w:val="Header"/>
              <w:ind w:left="-2"/>
              <w:rPr>
                <w:rFonts w:ascii="Arial" w:hAnsi="Arial" w:cs="Arial"/>
                <w:sz w:val="21"/>
                <w:szCs w:val="22"/>
              </w:rPr>
            </w:pPr>
            <w:r w:rsidRPr="00D2510F">
              <w:rPr>
                <w:rFonts w:ascii="Arial" w:hAnsi="Arial" w:cs="Arial"/>
                <w:sz w:val="21"/>
                <w:szCs w:val="22"/>
              </w:rPr>
              <w:t>2.5% of the clients served</w:t>
            </w:r>
          </w:p>
        </w:tc>
      </w:tr>
    </w:tbl>
    <w:p w14:paraId="51DB895F" w14:textId="77777777" w:rsidR="00CB19DE" w:rsidRPr="00D2510F" w:rsidRDefault="00CB19DE" w:rsidP="00CB19DE">
      <w:pPr>
        <w:pStyle w:val="Header"/>
        <w:spacing w:before="120" w:after="120"/>
        <w:ind w:left="1267"/>
        <w:rPr>
          <w:rFonts w:ascii="Arial" w:hAnsi="Arial" w:cs="Arial"/>
          <w:sz w:val="22"/>
          <w:szCs w:val="22"/>
        </w:rPr>
      </w:pPr>
      <w:r w:rsidRPr="00D2510F">
        <w:rPr>
          <w:rFonts w:ascii="Arial" w:hAnsi="Arial" w:cs="Arial"/>
          <w:sz w:val="22"/>
          <w:szCs w:val="22"/>
        </w:rPr>
        <w:t xml:space="preserve">If deemed appropriate by the monitor </w:t>
      </w:r>
      <w:r w:rsidRPr="00D2510F">
        <w:rPr>
          <w:rFonts w:ascii="Arial" w:hAnsi="Arial" w:cs="Arial"/>
          <w:b/>
          <w:sz w:val="22"/>
          <w:szCs w:val="22"/>
        </w:rPr>
        <w:t>or</w:t>
      </w:r>
      <w:r w:rsidRPr="00D2510F">
        <w:rPr>
          <w:rFonts w:ascii="Arial" w:hAnsi="Arial" w:cs="Arial"/>
          <w:sz w:val="22"/>
          <w:szCs w:val="22"/>
        </w:rPr>
        <w:t xml:space="preserve"> if 10% of the total units reviewed (not client sample) in the Base Sample are found to be </w:t>
      </w:r>
      <w:r w:rsidRPr="00D2510F">
        <w:rPr>
          <w:rFonts w:ascii="Arial" w:hAnsi="Arial" w:cs="Arial"/>
          <w:sz w:val="22"/>
          <w:szCs w:val="22"/>
          <w:u w:val="single"/>
        </w:rPr>
        <w:t>ineligible</w:t>
      </w:r>
      <w:r w:rsidRPr="00D2510F">
        <w:rPr>
          <w:rFonts w:ascii="Arial" w:hAnsi="Arial" w:cs="Arial"/>
          <w:sz w:val="22"/>
          <w:szCs w:val="22"/>
        </w:rPr>
        <w:t>, the sample must be expanded by fifteen (15) new names, or more if needed, and select a different month that the provider has received reimbursement.  The number of units sampled per client is left to the discretion of the Area Agency on Aging.</w:t>
      </w:r>
    </w:p>
    <w:p w14:paraId="6E31DAD3" w14:textId="77777777" w:rsidR="00CB19DE" w:rsidRPr="00D2510F" w:rsidRDefault="00CB19DE" w:rsidP="00CB19DE">
      <w:pPr>
        <w:pStyle w:val="Header"/>
        <w:spacing w:after="60"/>
        <w:ind w:left="1260"/>
        <w:rPr>
          <w:rFonts w:ascii="Arial" w:hAnsi="Arial" w:cs="Arial"/>
          <w:sz w:val="22"/>
          <w:szCs w:val="22"/>
        </w:rPr>
      </w:pPr>
      <w:r w:rsidRPr="00D2510F">
        <w:rPr>
          <w:rFonts w:ascii="Arial" w:hAnsi="Arial" w:cs="Arial"/>
          <w:sz w:val="22"/>
          <w:szCs w:val="22"/>
        </w:rPr>
        <w:t>Disallowance of Units is at the discretion of the Area Agency on Aging.  However, the following items, if found during monitoring, often constitute disallowance of units associated with the client or service monitored:</w:t>
      </w:r>
    </w:p>
    <w:p w14:paraId="09A4BE47" w14:textId="77777777" w:rsidR="00CB19DE" w:rsidRPr="00D2510F" w:rsidRDefault="00CB19DE" w:rsidP="00CB19DE">
      <w:pPr>
        <w:pStyle w:val="Header"/>
        <w:numPr>
          <w:ilvl w:val="2"/>
          <w:numId w:val="11"/>
        </w:numPr>
        <w:tabs>
          <w:tab w:val="clear" w:pos="4680"/>
          <w:tab w:val="clear" w:pos="9360"/>
        </w:tabs>
        <w:spacing w:after="60"/>
        <w:rPr>
          <w:rFonts w:ascii="Arial" w:hAnsi="Arial" w:cs="Arial"/>
          <w:sz w:val="22"/>
          <w:szCs w:val="22"/>
        </w:rPr>
      </w:pPr>
      <w:r w:rsidRPr="00D2510F">
        <w:rPr>
          <w:rFonts w:ascii="Arial" w:hAnsi="Arial" w:cs="Arial"/>
          <w:sz w:val="22"/>
          <w:szCs w:val="22"/>
        </w:rPr>
        <w:t>Ineligible units due to a health or safety issue</w:t>
      </w:r>
    </w:p>
    <w:p w14:paraId="10245362" w14:textId="77777777" w:rsidR="00CB19DE" w:rsidRPr="00D2510F" w:rsidRDefault="00CB19DE" w:rsidP="00CB19DE">
      <w:pPr>
        <w:pStyle w:val="Header"/>
        <w:numPr>
          <w:ilvl w:val="2"/>
          <w:numId w:val="11"/>
        </w:numPr>
        <w:tabs>
          <w:tab w:val="clear" w:pos="4680"/>
          <w:tab w:val="clear" w:pos="9360"/>
        </w:tabs>
        <w:spacing w:after="60"/>
        <w:rPr>
          <w:rFonts w:ascii="Arial" w:hAnsi="Arial" w:cs="Arial"/>
          <w:sz w:val="22"/>
          <w:szCs w:val="22"/>
        </w:rPr>
      </w:pPr>
      <w:r w:rsidRPr="00D2510F">
        <w:rPr>
          <w:rFonts w:ascii="Arial" w:hAnsi="Arial" w:cs="Arial"/>
          <w:sz w:val="22"/>
          <w:szCs w:val="22"/>
        </w:rPr>
        <w:t>Unverified units of service</w:t>
      </w:r>
    </w:p>
    <w:p w14:paraId="5C9F82CF" w14:textId="77777777" w:rsidR="00CB19DE" w:rsidRPr="00D2510F" w:rsidRDefault="00CB19DE" w:rsidP="00CB19DE">
      <w:pPr>
        <w:pStyle w:val="Header"/>
        <w:numPr>
          <w:ilvl w:val="2"/>
          <w:numId w:val="11"/>
        </w:numPr>
        <w:tabs>
          <w:tab w:val="clear" w:pos="4680"/>
          <w:tab w:val="clear" w:pos="9360"/>
        </w:tabs>
        <w:spacing w:after="120"/>
        <w:rPr>
          <w:rFonts w:ascii="Arial" w:hAnsi="Arial" w:cs="Arial"/>
          <w:sz w:val="22"/>
          <w:szCs w:val="22"/>
        </w:rPr>
      </w:pPr>
      <w:r w:rsidRPr="00D2510F">
        <w:rPr>
          <w:rFonts w:ascii="Arial" w:hAnsi="Arial" w:cs="Arial"/>
          <w:sz w:val="22"/>
          <w:szCs w:val="22"/>
        </w:rPr>
        <w:t>Service to ineligible clients</w:t>
      </w:r>
    </w:p>
    <w:p w14:paraId="6E6A1F7B" w14:textId="77777777" w:rsidR="00CB19DE" w:rsidRPr="00D2510F" w:rsidRDefault="00CB19DE" w:rsidP="00CB19DE">
      <w:pPr>
        <w:pStyle w:val="Header"/>
        <w:spacing w:after="240"/>
        <w:ind w:left="1260"/>
        <w:rPr>
          <w:rFonts w:ascii="Arial" w:hAnsi="Arial" w:cs="Arial"/>
          <w:sz w:val="22"/>
          <w:szCs w:val="22"/>
        </w:rPr>
      </w:pPr>
      <w:r w:rsidRPr="00D2510F">
        <w:rPr>
          <w:rFonts w:ascii="Arial" w:hAnsi="Arial" w:cs="Arial"/>
          <w:sz w:val="22"/>
          <w:szCs w:val="22"/>
        </w:rPr>
        <w:t xml:space="preserve">Disallowing units requires the Area Agency on Aging or Service Provider to reduce the number of units reported for reimbursement in the Aging Resources Management System (ARMS).  For further guidance, see the ARMS Provider User Manual at </w:t>
      </w:r>
      <w:hyperlink r:id="rId8" w:history="1">
        <w:r w:rsidRPr="00D2510F">
          <w:rPr>
            <w:rStyle w:val="Hyperlink"/>
            <w:rFonts w:ascii="Arial" w:eastAsiaTheme="minorHAnsi" w:hAnsi="Arial" w:cs="Arial"/>
            <w:sz w:val="22"/>
            <w:szCs w:val="22"/>
          </w:rPr>
          <w:t>https://www.ncdhhs.gov/divisions/aging-and-adult-services/aging-resource-management-system-arms</w:t>
        </w:r>
      </w:hyperlink>
    </w:p>
    <w:p w14:paraId="78469B2E" w14:textId="77777777" w:rsidR="00CB19DE" w:rsidRPr="001634A7" w:rsidRDefault="00CB19DE" w:rsidP="00CB19DE">
      <w:pPr>
        <w:pStyle w:val="Header"/>
        <w:spacing w:after="120"/>
        <w:ind w:left="1260" w:hanging="360"/>
        <w:rPr>
          <w:rFonts w:ascii="Arial" w:hAnsi="Arial" w:cs="Arial"/>
          <w:sz w:val="22"/>
          <w:szCs w:val="22"/>
        </w:rPr>
      </w:pPr>
      <w:r w:rsidRPr="00D2510F">
        <w:rPr>
          <w:rFonts w:ascii="Arial" w:hAnsi="Arial" w:cs="Arial"/>
          <w:sz w:val="22"/>
          <w:szCs w:val="22"/>
        </w:rPr>
        <w:t>C.</w:t>
      </w:r>
      <w:r w:rsidRPr="00D2510F">
        <w:rPr>
          <w:rFonts w:ascii="Arial" w:hAnsi="Arial" w:cs="Arial"/>
          <w:sz w:val="22"/>
          <w:szCs w:val="22"/>
        </w:rPr>
        <w:tab/>
      </w:r>
      <w:r w:rsidRPr="001634A7">
        <w:rPr>
          <w:rFonts w:ascii="Arial" w:hAnsi="Arial" w:cs="Arial"/>
          <w:b/>
          <w:sz w:val="22"/>
          <w:szCs w:val="22"/>
        </w:rPr>
        <w:t>Fiscal Reviews</w:t>
      </w:r>
      <w:r w:rsidRPr="001634A7">
        <w:rPr>
          <w:rFonts w:ascii="Arial" w:hAnsi="Arial" w:cs="Arial"/>
          <w:sz w:val="22"/>
          <w:szCs w:val="22"/>
        </w:rPr>
        <w:t xml:space="preserve"> will be conducted annually for all subrecipients (i.e. service-providing agencies).  The annual Area Agency on Aging Self-Assessment will be used to document that the following requirements have been met:</w:t>
      </w:r>
    </w:p>
    <w:p w14:paraId="47BC2A53" w14:textId="77777777" w:rsidR="00CB19DE" w:rsidRPr="001634A7" w:rsidRDefault="00CB19DE" w:rsidP="00CB19DE">
      <w:pPr>
        <w:pStyle w:val="Header"/>
        <w:numPr>
          <w:ilvl w:val="0"/>
          <w:numId w:val="10"/>
        </w:numPr>
        <w:tabs>
          <w:tab w:val="clear" w:pos="2160"/>
          <w:tab w:val="clear" w:pos="4680"/>
          <w:tab w:val="clear" w:pos="9360"/>
          <w:tab w:val="num" w:pos="1620"/>
        </w:tabs>
        <w:spacing w:after="120"/>
        <w:ind w:left="1620"/>
        <w:rPr>
          <w:rFonts w:ascii="Arial" w:hAnsi="Arial" w:cs="Arial"/>
          <w:sz w:val="22"/>
          <w:szCs w:val="22"/>
        </w:rPr>
      </w:pPr>
      <w:r w:rsidRPr="001634A7">
        <w:rPr>
          <w:rFonts w:ascii="Arial" w:hAnsi="Arial" w:cs="Arial"/>
          <w:sz w:val="22"/>
          <w:szCs w:val="22"/>
        </w:rPr>
        <w:t>After the fiscal year has closed, determine for each subrecipient (yes or no) if the Single Audit requirement threshold under Uniform Guidance 2 CFR Part 200 will be met for that fiscal year.</w:t>
      </w:r>
    </w:p>
    <w:p w14:paraId="18B07A50" w14:textId="77777777" w:rsidR="00CB19DE" w:rsidRPr="001634A7" w:rsidRDefault="00CB19DE" w:rsidP="00CB19DE">
      <w:pPr>
        <w:pStyle w:val="Header"/>
        <w:numPr>
          <w:ilvl w:val="0"/>
          <w:numId w:val="10"/>
        </w:numPr>
        <w:tabs>
          <w:tab w:val="clear" w:pos="2160"/>
          <w:tab w:val="clear" w:pos="4680"/>
          <w:tab w:val="clear" w:pos="9360"/>
          <w:tab w:val="num" w:pos="1620"/>
        </w:tabs>
        <w:spacing w:after="120"/>
        <w:ind w:left="1620"/>
        <w:rPr>
          <w:rFonts w:ascii="Arial" w:hAnsi="Arial" w:cs="Arial"/>
          <w:sz w:val="22"/>
          <w:szCs w:val="22"/>
        </w:rPr>
      </w:pPr>
      <w:r w:rsidRPr="001634A7">
        <w:rPr>
          <w:rFonts w:ascii="Arial" w:hAnsi="Arial" w:cs="Arial"/>
          <w:sz w:val="22"/>
          <w:szCs w:val="22"/>
        </w:rPr>
        <w:t xml:space="preserve">Indicate which subrecipients will receive an audit under Uniform Guidance 2 CFR Part 200, and which subrecipients will not meet these audit requirements for the ending fiscal year. For subrecipients that are not required to have an audit, AAAs should complete the Internal Control Questionnaire (ICQ) as part of the fiscal monitoring process. The ICQ can be found on the Division’s website at </w:t>
      </w:r>
      <w:hyperlink r:id="rId9" w:history="1">
        <w:r w:rsidRPr="001634A7">
          <w:rPr>
            <w:rStyle w:val="Hyperlink"/>
            <w:rFonts w:ascii="Arial" w:eastAsiaTheme="minorHAnsi" w:hAnsi="Arial" w:cs="Arial"/>
            <w:sz w:val="22"/>
            <w:szCs w:val="22"/>
          </w:rPr>
          <w:t>https://www.ncdhhs.gov/documents/daas-fiscal-monitoring-tools</w:t>
        </w:r>
      </w:hyperlink>
      <w:r w:rsidRPr="001634A7">
        <w:rPr>
          <w:rFonts w:ascii="Arial" w:hAnsi="Arial" w:cs="Arial"/>
          <w:sz w:val="22"/>
          <w:szCs w:val="22"/>
        </w:rPr>
        <w:t>.</w:t>
      </w:r>
    </w:p>
    <w:p w14:paraId="4550FF77" w14:textId="77777777" w:rsidR="00CB19DE" w:rsidRPr="001634A7" w:rsidRDefault="00CB19DE" w:rsidP="00CB19DE">
      <w:pPr>
        <w:pStyle w:val="Header"/>
        <w:numPr>
          <w:ilvl w:val="0"/>
          <w:numId w:val="10"/>
        </w:numPr>
        <w:tabs>
          <w:tab w:val="clear" w:pos="2160"/>
          <w:tab w:val="clear" w:pos="4680"/>
          <w:tab w:val="clear" w:pos="9360"/>
          <w:tab w:val="num" w:pos="1620"/>
        </w:tabs>
        <w:spacing w:after="120"/>
        <w:ind w:left="1620"/>
        <w:rPr>
          <w:rFonts w:ascii="Arial" w:hAnsi="Arial" w:cs="Arial"/>
          <w:sz w:val="22"/>
          <w:szCs w:val="22"/>
        </w:rPr>
      </w:pPr>
      <w:r w:rsidRPr="001634A7">
        <w:rPr>
          <w:rFonts w:ascii="Arial" w:hAnsi="Arial" w:cs="Arial"/>
          <w:sz w:val="22"/>
          <w:szCs w:val="22"/>
        </w:rPr>
        <w:t>Indicate (yes or no) that federal awards are used to cover audit cost during the current fiscal year for only those service providing agencies that met the Uniform Guidance 2 CFR Part 200</w:t>
      </w:r>
      <w:r w:rsidRPr="001634A7">
        <w:rPr>
          <w:rStyle w:val="Heading1Char"/>
          <w:rFonts w:ascii="Arial" w:hAnsi="Arial" w:cs="Arial"/>
          <w:color w:val="auto"/>
          <w:sz w:val="22"/>
          <w:szCs w:val="22"/>
        </w:rPr>
        <w:t xml:space="preserve"> </w:t>
      </w:r>
      <w:r w:rsidRPr="001634A7">
        <w:rPr>
          <w:rFonts w:ascii="Arial" w:hAnsi="Arial" w:cs="Arial"/>
          <w:sz w:val="22"/>
          <w:szCs w:val="22"/>
        </w:rPr>
        <w:t>audit requirements for the previous year.</w:t>
      </w:r>
    </w:p>
    <w:p w14:paraId="4F655F1B" w14:textId="77777777" w:rsidR="00CB19DE" w:rsidRPr="001634A7" w:rsidRDefault="00CB19DE" w:rsidP="00CB19DE">
      <w:pPr>
        <w:pStyle w:val="Header"/>
        <w:numPr>
          <w:ilvl w:val="0"/>
          <w:numId w:val="10"/>
        </w:numPr>
        <w:tabs>
          <w:tab w:val="clear" w:pos="2160"/>
          <w:tab w:val="clear" w:pos="4680"/>
          <w:tab w:val="clear" w:pos="9360"/>
          <w:tab w:val="num" w:pos="1620"/>
        </w:tabs>
        <w:spacing w:after="120"/>
        <w:ind w:left="1620"/>
        <w:rPr>
          <w:rFonts w:ascii="Arial" w:hAnsi="Arial" w:cs="Arial"/>
          <w:sz w:val="22"/>
          <w:szCs w:val="22"/>
        </w:rPr>
      </w:pPr>
      <w:r w:rsidRPr="001634A7">
        <w:rPr>
          <w:rFonts w:ascii="Arial" w:hAnsi="Arial" w:cs="Arial"/>
          <w:sz w:val="22"/>
          <w:szCs w:val="22"/>
        </w:rPr>
        <w:t>Following the review of the audit report, the AAA should complete the Audit Review Form and indicate (yes or no) that the AAA has resolved any audit finding(s) with service providing agencies.</w:t>
      </w:r>
    </w:p>
    <w:p w14:paraId="7EFE77B4" w14:textId="77777777" w:rsidR="00CB19DE" w:rsidRDefault="00CB19DE" w:rsidP="00CB19DE">
      <w:pPr>
        <w:pStyle w:val="Header"/>
        <w:spacing w:after="120"/>
        <w:ind w:left="1260"/>
        <w:rPr>
          <w:rFonts w:ascii="Arial" w:hAnsi="Arial" w:cs="Arial"/>
          <w:sz w:val="22"/>
          <w:szCs w:val="22"/>
        </w:rPr>
      </w:pPr>
      <w:r w:rsidRPr="001634A7">
        <w:rPr>
          <w:rFonts w:ascii="Arial" w:hAnsi="Arial" w:cs="Arial"/>
          <w:sz w:val="22"/>
          <w:szCs w:val="22"/>
        </w:rPr>
        <w:t xml:space="preserve">For those service-providing agencies that </w:t>
      </w:r>
      <w:r w:rsidRPr="001634A7">
        <w:rPr>
          <w:rFonts w:ascii="Arial" w:hAnsi="Arial" w:cs="Arial"/>
          <w:b/>
          <w:sz w:val="22"/>
          <w:szCs w:val="22"/>
        </w:rPr>
        <w:t>do not meet</w:t>
      </w:r>
      <w:r w:rsidRPr="001634A7">
        <w:rPr>
          <w:rFonts w:ascii="Arial" w:hAnsi="Arial" w:cs="Arial"/>
          <w:sz w:val="22"/>
          <w:szCs w:val="22"/>
        </w:rPr>
        <w:t xml:space="preserve"> the Single Audit Threshold under  Uniform Guidance 2 CFR Part 200</w:t>
      </w:r>
      <w:r w:rsidRPr="001634A7">
        <w:rPr>
          <w:rStyle w:val="Heading1Char"/>
          <w:rFonts w:ascii="Arial" w:hAnsi="Arial" w:cs="Arial"/>
          <w:color w:val="auto"/>
          <w:sz w:val="22"/>
          <w:szCs w:val="22"/>
        </w:rPr>
        <w:t xml:space="preserve"> , </w:t>
      </w:r>
      <w:hyperlink r:id="rId10" w:history="1">
        <w:r w:rsidRPr="001634A7">
          <w:rPr>
            <w:rStyle w:val="Hyperlink"/>
            <w:rFonts w:ascii="Arial" w:eastAsia="Yu Gothic Light" w:hAnsi="Arial" w:cs="Arial"/>
            <w:sz w:val="22"/>
            <w:szCs w:val="22"/>
          </w:rPr>
          <w:t>http://www.whitehouse.gov/omb/</w:t>
        </w:r>
      </w:hyperlink>
      <w:r w:rsidRPr="001634A7">
        <w:rPr>
          <w:rFonts w:ascii="Arial" w:hAnsi="Arial" w:cs="Arial"/>
          <w:sz w:val="22"/>
          <w:szCs w:val="22"/>
        </w:rPr>
        <w:t xml:space="preserve">   the Area Agency on Aging will assure the receipt and review of certifications and financial reporting forms submitted by providers in compliance with the reporting </w:t>
      </w:r>
      <w:r w:rsidRPr="008F14FF">
        <w:rPr>
          <w:rFonts w:ascii="Arial" w:hAnsi="Arial" w:cs="Arial"/>
          <w:sz w:val="22"/>
          <w:szCs w:val="22"/>
        </w:rPr>
        <w:t>requirements of N.C.G.S. 143C-6-23.</w:t>
      </w:r>
    </w:p>
    <w:p w14:paraId="03433FFC" w14:textId="77777777" w:rsidR="00CB19DE" w:rsidRPr="001634A7" w:rsidRDefault="00CB19DE" w:rsidP="00CB19DE">
      <w:pPr>
        <w:pStyle w:val="Header"/>
        <w:spacing w:after="120"/>
        <w:ind w:left="1260"/>
        <w:rPr>
          <w:rFonts w:ascii="Arial" w:hAnsi="Arial" w:cs="Arial"/>
          <w:sz w:val="22"/>
          <w:szCs w:val="22"/>
        </w:rPr>
      </w:pPr>
    </w:p>
    <w:p w14:paraId="45FA694F" w14:textId="77777777" w:rsidR="00CB19DE" w:rsidRPr="001A22BD" w:rsidRDefault="00CB19DE" w:rsidP="00CB19DE">
      <w:pPr>
        <w:pStyle w:val="Header"/>
        <w:spacing w:after="240"/>
        <w:ind w:left="1260"/>
        <w:rPr>
          <w:rFonts w:ascii="Arial" w:hAnsi="Arial" w:cs="Arial"/>
          <w:sz w:val="22"/>
          <w:szCs w:val="22"/>
        </w:rPr>
      </w:pPr>
      <w:r w:rsidRPr="00D2510F">
        <w:rPr>
          <w:rFonts w:ascii="Arial" w:hAnsi="Arial" w:cs="Arial"/>
          <w:sz w:val="22"/>
          <w:szCs w:val="22"/>
        </w:rPr>
        <w:lastRenderedPageBreak/>
        <w:t xml:space="preserve">Area Agencies on Aging have the option to </w:t>
      </w:r>
      <w:r w:rsidRPr="00E66548">
        <w:rPr>
          <w:rFonts w:ascii="Arial" w:hAnsi="Arial" w:cs="Arial"/>
          <w:sz w:val="22"/>
          <w:szCs w:val="22"/>
        </w:rPr>
        <w:t xml:space="preserve">complete </w:t>
      </w:r>
      <w:r w:rsidRPr="00F34A98">
        <w:rPr>
          <w:rFonts w:ascii="Arial" w:hAnsi="Arial" w:cs="Arial"/>
          <w:sz w:val="22"/>
          <w:szCs w:val="22"/>
        </w:rPr>
        <w:t>on-site/virtual</w:t>
      </w:r>
      <w:r w:rsidRPr="00E66548">
        <w:rPr>
          <w:rFonts w:ascii="Arial" w:hAnsi="Arial" w:cs="Arial"/>
          <w:sz w:val="22"/>
          <w:szCs w:val="22"/>
        </w:rPr>
        <w:t xml:space="preserve"> fiscal monitoring in lieu of receiving the annual reports from local providers.  AAAs are required to notify providers in writing 30 </w:t>
      </w:r>
      <w:r w:rsidRPr="00F34A98">
        <w:rPr>
          <w:rFonts w:ascii="Arial" w:hAnsi="Arial" w:cs="Arial"/>
          <w:bCs/>
          <w:sz w:val="22"/>
          <w:szCs w:val="22"/>
        </w:rPr>
        <w:t>business</w:t>
      </w:r>
      <w:r w:rsidRPr="00F34A98">
        <w:rPr>
          <w:rFonts w:ascii="Arial" w:hAnsi="Arial" w:cs="Arial"/>
          <w:b/>
          <w:sz w:val="22"/>
          <w:szCs w:val="22"/>
        </w:rPr>
        <w:t xml:space="preserve"> </w:t>
      </w:r>
      <w:r w:rsidRPr="00E66548">
        <w:rPr>
          <w:rFonts w:ascii="Arial" w:hAnsi="Arial" w:cs="Arial"/>
          <w:sz w:val="22"/>
          <w:szCs w:val="22"/>
        </w:rPr>
        <w:t xml:space="preserve">days prior to an </w:t>
      </w:r>
      <w:r w:rsidRPr="00F34A98">
        <w:rPr>
          <w:rFonts w:ascii="Arial" w:hAnsi="Arial" w:cs="Arial"/>
          <w:sz w:val="22"/>
          <w:szCs w:val="22"/>
        </w:rPr>
        <w:t>on-site</w:t>
      </w:r>
      <w:r w:rsidRPr="00E66548">
        <w:rPr>
          <w:rFonts w:ascii="Arial" w:hAnsi="Arial" w:cs="Arial"/>
          <w:sz w:val="22"/>
          <w:szCs w:val="22"/>
        </w:rPr>
        <w:t xml:space="preserve"> visit if </w:t>
      </w:r>
      <w:r w:rsidRPr="00F34A98">
        <w:rPr>
          <w:rFonts w:ascii="Arial" w:hAnsi="Arial" w:cs="Arial"/>
          <w:sz w:val="22"/>
          <w:szCs w:val="22"/>
        </w:rPr>
        <w:t>on-site</w:t>
      </w:r>
      <w:r w:rsidRPr="00E66548">
        <w:rPr>
          <w:rFonts w:ascii="Arial" w:hAnsi="Arial" w:cs="Arial"/>
          <w:sz w:val="22"/>
          <w:szCs w:val="22"/>
        </w:rPr>
        <w:t xml:space="preserve"> fisca</w:t>
      </w:r>
      <w:r w:rsidRPr="001A22BD">
        <w:rPr>
          <w:rFonts w:ascii="Arial" w:hAnsi="Arial" w:cs="Arial"/>
          <w:sz w:val="22"/>
          <w:szCs w:val="22"/>
        </w:rPr>
        <w:t xml:space="preserve">l monitoring will be conducted.  </w:t>
      </w:r>
    </w:p>
    <w:p w14:paraId="32A6CF79" w14:textId="77777777" w:rsidR="00CB19DE" w:rsidRPr="00D2510F" w:rsidRDefault="00CB19DE" w:rsidP="00CB19DE">
      <w:pPr>
        <w:pStyle w:val="Header"/>
        <w:spacing w:after="120"/>
        <w:ind w:left="1260" w:hanging="360"/>
        <w:rPr>
          <w:rFonts w:ascii="Arial" w:hAnsi="Arial" w:cs="Arial"/>
          <w:sz w:val="22"/>
          <w:szCs w:val="22"/>
        </w:rPr>
      </w:pPr>
      <w:r w:rsidRPr="00D2510F">
        <w:rPr>
          <w:rFonts w:ascii="Arial" w:hAnsi="Arial" w:cs="Arial"/>
          <w:sz w:val="22"/>
          <w:szCs w:val="22"/>
        </w:rPr>
        <w:t>D.</w:t>
      </w:r>
      <w:r w:rsidRPr="00D2510F">
        <w:rPr>
          <w:rFonts w:ascii="Arial" w:hAnsi="Arial" w:cs="Arial"/>
          <w:sz w:val="22"/>
          <w:szCs w:val="22"/>
        </w:rPr>
        <w:tab/>
        <w:t xml:space="preserve">A </w:t>
      </w:r>
      <w:r w:rsidRPr="00D2510F">
        <w:rPr>
          <w:rFonts w:ascii="Arial" w:hAnsi="Arial" w:cs="Arial"/>
          <w:b/>
          <w:sz w:val="22"/>
          <w:szCs w:val="22"/>
        </w:rPr>
        <w:t xml:space="preserve">Risk-Based Monitoring </w:t>
      </w:r>
      <w:r w:rsidRPr="00D2510F">
        <w:rPr>
          <w:rFonts w:ascii="Arial" w:hAnsi="Arial" w:cs="Arial"/>
          <w:sz w:val="22"/>
          <w:szCs w:val="22"/>
        </w:rPr>
        <w:t xml:space="preserve">approach to monitoring will be employed by each Area Agency on Aging to appropriately determine the intensity and frequency of Programmatic and Fiscal reviews.  </w:t>
      </w:r>
    </w:p>
    <w:p w14:paraId="44722248" w14:textId="77777777" w:rsidR="00CB19DE" w:rsidRPr="00D2510F" w:rsidRDefault="00CB19DE" w:rsidP="00CB19DE">
      <w:pPr>
        <w:pStyle w:val="Header"/>
        <w:spacing w:after="120"/>
        <w:ind w:left="1620" w:hanging="360"/>
        <w:rPr>
          <w:rFonts w:ascii="Arial" w:hAnsi="Arial" w:cs="Arial"/>
          <w:sz w:val="22"/>
          <w:szCs w:val="22"/>
        </w:rPr>
      </w:pPr>
      <w:r w:rsidRPr="00D2510F">
        <w:rPr>
          <w:rFonts w:ascii="Arial" w:hAnsi="Arial" w:cs="Arial"/>
          <w:sz w:val="22"/>
          <w:szCs w:val="22"/>
        </w:rPr>
        <w:t>1.</w:t>
      </w:r>
      <w:r w:rsidRPr="00D2510F">
        <w:rPr>
          <w:rFonts w:ascii="Arial" w:hAnsi="Arial" w:cs="Arial"/>
          <w:sz w:val="22"/>
          <w:szCs w:val="22"/>
        </w:rPr>
        <w:tab/>
        <w:t>Each Area Agency on Aging is required to:</w:t>
      </w:r>
    </w:p>
    <w:p w14:paraId="699A0F60" w14:textId="77777777" w:rsidR="00CB19DE" w:rsidRPr="00D2510F" w:rsidRDefault="00CB19DE" w:rsidP="00CB19DE">
      <w:pPr>
        <w:pStyle w:val="Header"/>
        <w:numPr>
          <w:ilvl w:val="0"/>
          <w:numId w:val="14"/>
        </w:numPr>
        <w:tabs>
          <w:tab w:val="clear" w:pos="4680"/>
          <w:tab w:val="clear" w:pos="9360"/>
        </w:tabs>
        <w:spacing w:after="120"/>
        <w:ind w:left="1980"/>
        <w:rPr>
          <w:rFonts w:ascii="Arial" w:hAnsi="Arial" w:cs="Arial"/>
          <w:sz w:val="22"/>
          <w:szCs w:val="22"/>
        </w:rPr>
      </w:pPr>
      <w:r w:rsidRPr="00D2510F">
        <w:rPr>
          <w:rFonts w:ascii="Arial" w:hAnsi="Arial" w:cs="Arial"/>
          <w:sz w:val="22"/>
          <w:szCs w:val="22"/>
        </w:rPr>
        <w:t>Develop criteria for determining “</w:t>
      </w:r>
      <w:r w:rsidRPr="00111BB2">
        <w:rPr>
          <w:rFonts w:ascii="Arial" w:hAnsi="Arial" w:cs="Arial"/>
          <w:sz w:val="22"/>
          <w:szCs w:val="22"/>
        </w:rPr>
        <w:t xml:space="preserve">risk” and implementing a “risk based” (high, </w:t>
      </w:r>
      <w:proofErr w:type="gramStart"/>
      <w:r w:rsidRPr="00111BB2">
        <w:rPr>
          <w:rFonts w:ascii="Arial" w:hAnsi="Arial" w:cs="Arial"/>
          <w:sz w:val="22"/>
          <w:szCs w:val="22"/>
        </w:rPr>
        <w:t>moderate</w:t>
      </w:r>
      <w:proofErr w:type="gramEnd"/>
      <w:r w:rsidRPr="00111BB2">
        <w:rPr>
          <w:rFonts w:ascii="Arial" w:hAnsi="Arial" w:cs="Arial"/>
          <w:sz w:val="22"/>
          <w:szCs w:val="22"/>
        </w:rPr>
        <w:t xml:space="preserve"> or low) monitoring plan for each service provider agency (subrecipient). See DAAS Administrative Letter 98-7 and DAAS Administrative Letter 13-09 for guidance</w:t>
      </w:r>
      <w:r w:rsidRPr="00D2510F">
        <w:rPr>
          <w:rFonts w:ascii="Arial" w:hAnsi="Arial" w:cs="Arial"/>
          <w:sz w:val="22"/>
          <w:szCs w:val="22"/>
        </w:rPr>
        <w:t xml:space="preserve"> on risk-based evaluations.</w:t>
      </w:r>
    </w:p>
    <w:p w14:paraId="564CD34E" w14:textId="77777777" w:rsidR="00CB19DE" w:rsidRPr="00D2510F" w:rsidRDefault="00CB19DE" w:rsidP="00CB19DE">
      <w:pPr>
        <w:pStyle w:val="Header"/>
        <w:numPr>
          <w:ilvl w:val="0"/>
          <w:numId w:val="14"/>
        </w:numPr>
        <w:tabs>
          <w:tab w:val="clear" w:pos="4680"/>
          <w:tab w:val="clear" w:pos="9360"/>
        </w:tabs>
        <w:spacing w:after="120"/>
        <w:ind w:left="1980"/>
        <w:rPr>
          <w:rFonts w:ascii="Arial" w:hAnsi="Arial" w:cs="Arial"/>
          <w:sz w:val="22"/>
          <w:szCs w:val="22"/>
        </w:rPr>
      </w:pPr>
      <w:r w:rsidRPr="00D2510F">
        <w:rPr>
          <w:rFonts w:ascii="Arial" w:hAnsi="Arial" w:cs="Arial"/>
          <w:sz w:val="22"/>
          <w:szCs w:val="22"/>
        </w:rPr>
        <w:t xml:space="preserve">Annually, evaluate the level of risk (high, </w:t>
      </w:r>
      <w:proofErr w:type="gramStart"/>
      <w:r w:rsidRPr="00D2510F">
        <w:rPr>
          <w:rFonts w:ascii="Arial" w:hAnsi="Arial" w:cs="Arial"/>
          <w:sz w:val="22"/>
          <w:szCs w:val="22"/>
        </w:rPr>
        <w:t>moderate</w:t>
      </w:r>
      <w:proofErr w:type="gramEnd"/>
      <w:r w:rsidRPr="00D2510F">
        <w:rPr>
          <w:rFonts w:ascii="Arial" w:hAnsi="Arial" w:cs="Arial"/>
          <w:sz w:val="22"/>
          <w:szCs w:val="22"/>
        </w:rPr>
        <w:t xml:space="preserve"> or low) for each service provider agency.</w:t>
      </w:r>
    </w:p>
    <w:p w14:paraId="5C5333B9" w14:textId="77777777" w:rsidR="00CB19DE" w:rsidRPr="00D2510F" w:rsidRDefault="00CB19DE" w:rsidP="00CB19DE">
      <w:pPr>
        <w:pStyle w:val="Header"/>
        <w:numPr>
          <w:ilvl w:val="0"/>
          <w:numId w:val="14"/>
        </w:numPr>
        <w:tabs>
          <w:tab w:val="clear" w:pos="4680"/>
          <w:tab w:val="clear" w:pos="9360"/>
        </w:tabs>
        <w:spacing w:after="120"/>
        <w:ind w:left="1980"/>
        <w:rPr>
          <w:rFonts w:ascii="Arial" w:hAnsi="Arial" w:cs="Arial"/>
          <w:sz w:val="22"/>
          <w:szCs w:val="22"/>
        </w:rPr>
      </w:pPr>
      <w:r w:rsidRPr="00D2510F">
        <w:rPr>
          <w:rFonts w:ascii="Arial" w:hAnsi="Arial" w:cs="Arial"/>
          <w:sz w:val="22"/>
          <w:szCs w:val="22"/>
        </w:rPr>
        <w:t>At a minimum and regardless of “risk” status, each service provider will receive at least one (1) monitoring visit (either programmatic and/or fiscal</w:t>
      </w:r>
      <w:r w:rsidRPr="00E66548">
        <w:rPr>
          <w:rFonts w:ascii="Arial" w:hAnsi="Arial" w:cs="Arial"/>
          <w:sz w:val="22"/>
          <w:szCs w:val="22"/>
        </w:rPr>
        <w:t xml:space="preserve">) </w:t>
      </w:r>
      <w:r w:rsidRPr="00F34A98">
        <w:rPr>
          <w:rFonts w:ascii="Arial" w:hAnsi="Arial" w:cs="Arial"/>
          <w:sz w:val="22"/>
          <w:szCs w:val="22"/>
        </w:rPr>
        <w:t>on-site, as a desk review, or virtually, depending upon circumstances</w:t>
      </w:r>
      <w:r w:rsidRPr="00E66548">
        <w:rPr>
          <w:rFonts w:ascii="Arial" w:hAnsi="Arial" w:cs="Arial"/>
          <w:sz w:val="22"/>
          <w:szCs w:val="22"/>
        </w:rPr>
        <w:t xml:space="preserve"> </w:t>
      </w:r>
      <w:r w:rsidRPr="00D2510F">
        <w:rPr>
          <w:rFonts w:ascii="Arial" w:hAnsi="Arial" w:cs="Arial"/>
          <w:sz w:val="22"/>
          <w:szCs w:val="22"/>
        </w:rPr>
        <w:t>during a three-year timeframe.</w:t>
      </w:r>
    </w:p>
    <w:p w14:paraId="7EF4189E" w14:textId="77777777" w:rsidR="00CB19DE" w:rsidRPr="00D2510F" w:rsidRDefault="00CB19DE" w:rsidP="00CB19DE">
      <w:pPr>
        <w:pStyle w:val="Header"/>
        <w:spacing w:after="120"/>
        <w:ind w:left="1620" w:hanging="360"/>
        <w:rPr>
          <w:rFonts w:ascii="Arial" w:hAnsi="Arial" w:cs="Arial"/>
          <w:sz w:val="22"/>
          <w:szCs w:val="22"/>
        </w:rPr>
      </w:pPr>
      <w:r w:rsidRPr="00D2510F">
        <w:rPr>
          <w:rFonts w:ascii="Arial" w:hAnsi="Arial" w:cs="Arial"/>
          <w:sz w:val="22"/>
          <w:szCs w:val="22"/>
        </w:rPr>
        <w:t>2.</w:t>
      </w:r>
      <w:r w:rsidRPr="00D2510F">
        <w:rPr>
          <w:rFonts w:ascii="Arial" w:hAnsi="Arial" w:cs="Arial"/>
          <w:sz w:val="22"/>
          <w:szCs w:val="22"/>
        </w:rPr>
        <w:tab/>
        <w:t>In addition</w:t>
      </w:r>
      <w:r w:rsidRPr="00E66548">
        <w:rPr>
          <w:rFonts w:ascii="Arial" w:hAnsi="Arial" w:cs="Arial"/>
          <w:sz w:val="22"/>
          <w:szCs w:val="22"/>
        </w:rPr>
        <w:t xml:space="preserve">, </w:t>
      </w:r>
      <w:r w:rsidRPr="00F34A98">
        <w:rPr>
          <w:rFonts w:ascii="Arial" w:hAnsi="Arial" w:cs="Arial"/>
          <w:b/>
          <w:sz w:val="22"/>
          <w:szCs w:val="22"/>
        </w:rPr>
        <w:t>on-site</w:t>
      </w:r>
      <w:r w:rsidRPr="00E66548">
        <w:rPr>
          <w:rFonts w:ascii="Arial" w:hAnsi="Arial" w:cs="Arial"/>
          <w:sz w:val="22"/>
          <w:szCs w:val="22"/>
        </w:rPr>
        <w:t xml:space="preserve"> </w:t>
      </w:r>
      <w:r w:rsidRPr="00D2510F">
        <w:rPr>
          <w:rFonts w:ascii="Arial" w:hAnsi="Arial" w:cs="Arial"/>
          <w:b/>
          <w:sz w:val="22"/>
          <w:szCs w:val="22"/>
        </w:rPr>
        <w:t>monitoring</w:t>
      </w:r>
      <w:r w:rsidRPr="00D2510F">
        <w:rPr>
          <w:rFonts w:ascii="Arial" w:hAnsi="Arial" w:cs="Arial"/>
          <w:sz w:val="22"/>
          <w:szCs w:val="22"/>
        </w:rPr>
        <w:t xml:space="preserve"> </w:t>
      </w:r>
      <w:r w:rsidRPr="00D2510F">
        <w:rPr>
          <w:rFonts w:ascii="Arial" w:hAnsi="Arial" w:cs="Arial"/>
          <w:sz w:val="22"/>
          <w:szCs w:val="22"/>
          <w:u w:val="single"/>
        </w:rPr>
        <w:t>should</w:t>
      </w:r>
      <w:r w:rsidRPr="00D2510F">
        <w:rPr>
          <w:rFonts w:ascii="Arial" w:hAnsi="Arial" w:cs="Arial"/>
          <w:sz w:val="22"/>
          <w:szCs w:val="22"/>
        </w:rPr>
        <w:t xml:space="preserve"> be performed under the following circumstances:</w:t>
      </w:r>
    </w:p>
    <w:p w14:paraId="7561727C" w14:textId="77777777" w:rsidR="00CB19DE" w:rsidRPr="00D2510F" w:rsidRDefault="00CB19DE" w:rsidP="00CB19DE">
      <w:pPr>
        <w:pStyle w:val="Header"/>
        <w:numPr>
          <w:ilvl w:val="0"/>
          <w:numId w:val="15"/>
        </w:numPr>
        <w:tabs>
          <w:tab w:val="clear" w:pos="4680"/>
          <w:tab w:val="clear" w:pos="9360"/>
        </w:tabs>
        <w:spacing w:after="120"/>
        <w:ind w:left="1980"/>
        <w:rPr>
          <w:rFonts w:ascii="Arial" w:hAnsi="Arial" w:cs="Arial"/>
          <w:sz w:val="22"/>
          <w:szCs w:val="22"/>
        </w:rPr>
      </w:pPr>
      <w:r w:rsidRPr="00D2510F">
        <w:rPr>
          <w:rFonts w:ascii="Arial" w:hAnsi="Arial" w:cs="Arial"/>
          <w:sz w:val="22"/>
          <w:szCs w:val="22"/>
        </w:rPr>
        <w:t>If the AAA and either the office of the county manager or the county board of commissioners agree that an additional monitoring(s) is/are warranted.</w:t>
      </w:r>
    </w:p>
    <w:p w14:paraId="36720073" w14:textId="77777777" w:rsidR="00CB19DE" w:rsidRPr="00D2510F" w:rsidRDefault="00CB19DE" w:rsidP="00CB19DE">
      <w:pPr>
        <w:pStyle w:val="Header"/>
        <w:numPr>
          <w:ilvl w:val="0"/>
          <w:numId w:val="15"/>
        </w:numPr>
        <w:tabs>
          <w:tab w:val="clear" w:pos="4680"/>
          <w:tab w:val="clear" w:pos="9360"/>
        </w:tabs>
        <w:spacing w:after="120"/>
        <w:ind w:left="1980"/>
        <w:rPr>
          <w:rFonts w:ascii="Arial" w:hAnsi="Arial" w:cs="Arial"/>
          <w:sz w:val="22"/>
          <w:szCs w:val="22"/>
        </w:rPr>
      </w:pPr>
      <w:r w:rsidRPr="00D2510F">
        <w:rPr>
          <w:rFonts w:ascii="Arial" w:hAnsi="Arial" w:cs="Arial"/>
          <w:sz w:val="22"/>
          <w:szCs w:val="22"/>
        </w:rPr>
        <w:t>If the AAA and/or the Division of Aging and Adult Services agree that an additional monitoring(s) is/are warranted.</w:t>
      </w:r>
    </w:p>
    <w:p w14:paraId="4E8809ED" w14:textId="77777777" w:rsidR="00CB19DE" w:rsidRPr="00D2510F" w:rsidRDefault="00CB19DE" w:rsidP="00CB19DE">
      <w:pPr>
        <w:pStyle w:val="Header"/>
        <w:numPr>
          <w:ilvl w:val="0"/>
          <w:numId w:val="15"/>
        </w:numPr>
        <w:tabs>
          <w:tab w:val="clear" w:pos="4680"/>
          <w:tab w:val="clear" w:pos="9360"/>
        </w:tabs>
        <w:spacing w:after="120"/>
        <w:ind w:left="1980"/>
        <w:rPr>
          <w:rFonts w:ascii="Arial" w:hAnsi="Arial" w:cs="Arial"/>
          <w:sz w:val="22"/>
          <w:szCs w:val="22"/>
        </w:rPr>
      </w:pPr>
      <w:r w:rsidRPr="00D2510F">
        <w:rPr>
          <w:rFonts w:ascii="Arial" w:hAnsi="Arial" w:cs="Arial"/>
          <w:sz w:val="22"/>
          <w:szCs w:val="22"/>
        </w:rPr>
        <w:t>If requested by the community service provider.</w:t>
      </w:r>
    </w:p>
    <w:p w14:paraId="53F1B43F" w14:textId="77777777" w:rsidR="00CB19DE" w:rsidRPr="00003001" w:rsidRDefault="00CB19DE" w:rsidP="00CB19DE">
      <w:pPr>
        <w:pStyle w:val="Header"/>
        <w:spacing w:after="120"/>
        <w:ind w:left="1620" w:hanging="360"/>
        <w:rPr>
          <w:rFonts w:ascii="Arial" w:hAnsi="Arial" w:cs="Arial"/>
          <w:sz w:val="22"/>
          <w:szCs w:val="22"/>
        </w:rPr>
      </w:pPr>
      <w:r w:rsidRPr="00D2510F">
        <w:rPr>
          <w:rFonts w:ascii="Arial" w:hAnsi="Arial" w:cs="Arial"/>
          <w:b/>
          <w:sz w:val="22"/>
          <w:szCs w:val="22"/>
        </w:rPr>
        <w:t>3.</w:t>
      </w:r>
      <w:r w:rsidRPr="00D2510F">
        <w:rPr>
          <w:rFonts w:ascii="Arial" w:hAnsi="Arial" w:cs="Arial"/>
          <w:b/>
          <w:sz w:val="22"/>
          <w:szCs w:val="22"/>
        </w:rPr>
        <w:tab/>
      </w:r>
      <w:r w:rsidRPr="001A22BD">
        <w:rPr>
          <w:rFonts w:ascii="Arial" w:hAnsi="Arial" w:cs="Arial"/>
          <w:b/>
          <w:sz w:val="22"/>
          <w:szCs w:val="22"/>
        </w:rPr>
        <w:t>Monitoring</w:t>
      </w:r>
      <w:r w:rsidRPr="001A22BD">
        <w:rPr>
          <w:rFonts w:ascii="Arial" w:hAnsi="Arial" w:cs="Arial"/>
          <w:sz w:val="22"/>
          <w:szCs w:val="22"/>
        </w:rPr>
        <w:t xml:space="preserve"> </w:t>
      </w:r>
      <w:r w:rsidRPr="001A22BD">
        <w:rPr>
          <w:rFonts w:ascii="Arial" w:hAnsi="Arial" w:cs="Arial"/>
          <w:sz w:val="22"/>
          <w:szCs w:val="22"/>
          <w:u w:val="single"/>
        </w:rPr>
        <w:t>will</w:t>
      </w:r>
      <w:r w:rsidRPr="001A22BD">
        <w:rPr>
          <w:rFonts w:ascii="Arial" w:hAnsi="Arial" w:cs="Arial"/>
          <w:sz w:val="22"/>
          <w:szCs w:val="22"/>
        </w:rPr>
        <w:t xml:space="preserve"> be performed </w:t>
      </w:r>
      <w:r w:rsidRPr="00F34A98">
        <w:rPr>
          <w:rFonts w:ascii="Arial" w:hAnsi="Arial" w:cs="Arial"/>
          <w:sz w:val="22"/>
          <w:szCs w:val="22"/>
        </w:rPr>
        <w:t>on-site, as a desk review, or virtually, depending upon</w:t>
      </w:r>
      <w:r w:rsidRPr="00003001">
        <w:rPr>
          <w:rFonts w:ascii="Arial" w:hAnsi="Arial" w:cs="Arial"/>
          <w:sz w:val="22"/>
          <w:szCs w:val="22"/>
        </w:rPr>
        <w:t xml:space="preserve"> special circumstances, and as indicated by the following:</w:t>
      </w:r>
    </w:p>
    <w:p w14:paraId="7A9CA4FB" w14:textId="77777777" w:rsidR="00CB19DE" w:rsidRPr="00D2510F" w:rsidRDefault="00CB19DE" w:rsidP="00CB19DE">
      <w:pPr>
        <w:pStyle w:val="Header"/>
        <w:numPr>
          <w:ilvl w:val="0"/>
          <w:numId w:val="16"/>
        </w:numPr>
        <w:tabs>
          <w:tab w:val="clear" w:pos="4680"/>
          <w:tab w:val="clear" w:pos="9360"/>
        </w:tabs>
        <w:spacing w:after="120"/>
        <w:ind w:left="1980"/>
        <w:rPr>
          <w:rFonts w:ascii="Arial" w:hAnsi="Arial" w:cs="Arial"/>
          <w:sz w:val="22"/>
          <w:szCs w:val="22"/>
        </w:rPr>
      </w:pPr>
      <w:r w:rsidRPr="00D2510F">
        <w:rPr>
          <w:rFonts w:ascii="Arial" w:hAnsi="Arial" w:cs="Arial"/>
          <w:sz w:val="22"/>
          <w:szCs w:val="22"/>
        </w:rPr>
        <w:t>If non-compliance findings are identified and not corrected by the community service provider within the time frames specified in their Corrective Action Plan.</w:t>
      </w:r>
    </w:p>
    <w:p w14:paraId="6672380D" w14:textId="77777777" w:rsidR="00CB19DE" w:rsidRPr="00D2510F" w:rsidRDefault="00CB19DE" w:rsidP="00CB19DE">
      <w:pPr>
        <w:pStyle w:val="Header"/>
        <w:numPr>
          <w:ilvl w:val="0"/>
          <w:numId w:val="16"/>
        </w:numPr>
        <w:tabs>
          <w:tab w:val="clear" w:pos="4680"/>
          <w:tab w:val="clear" w:pos="9360"/>
        </w:tabs>
        <w:spacing w:after="120"/>
        <w:ind w:left="1980"/>
        <w:rPr>
          <w:rFonts w:ascii="Arial" w:hAnsi="Arial" w:cs="Arial"/>
          <w:sz w:val="22"/>
          <w:szCs w:val="22"/>
        </w:rPr>
      </w:pPr>
      <w:r w:rsidRPr="00D2510F">
        <w:rPr>
          <w:rFonts w:ascii="Arial" w:hAnsi="Arial" w:cs="Arial"/>
          <w:sz w:val="22"/>
          <w:szCs w:val="22"/>
        </w:rPr>
        <w:t>If a new community service provider is funded by a county and has no recent history of providing the service.</w:t>
      </w:r>
    </w:p>
    <w:p w14:paraId="46DD4920" w14:textId="77777777" w:rsidR="00CB19DE" w:rsidRPr="00D2510F" w:rsidRDefault="00CB19DE" w:rsidP="00CB19DE">
      <w:pPr>
        <w:pStyle w:val="Header"/>
        <w:numPr>
          <w:ilvl w:val="0"/>
          <w:numId w:val="16"/>
        </w:numPr>
        <w:tabs>
          <w:tab w:val="clear" w:pos="4680"/>
          <w:tab w:val="clear" w:pos="9360"/>
        </w:tabs>
        <w:spacing w:after="120"/>
        <w:ind w:left="1980"/>
        <w:rPr>
          <w:rFonts w:ascii="Arial" w:hAnsi="Arial" w:cs="Arial"/>
          <w:sz w:val="22"/>
          <w:szCs w:val="22"/>
        </w:rPr>
      </w:pPr>
      <w:r w:rsidRPr="00D2510F">
        <w:rPr>
          <w:rFonts w:ascii="Arial" w:hAnsi="Arial" w:cs="Arial"/>
          <w:sz w:val="22"/>
          <w:szCs w:val="22"/>
        </w:rPr>
        <w:t>If a service provider is closing out its full contract or a specific service and will no longer be providing service(s) in the subsequent year within that Planning and Service Area.</w:t>
      </w:r>
    </w:p>
    <w:p w14:paraId="324B3AE0" w14:textId="77777777" w:rsidR="00CB19DE" w:rsidRPr="00D2510F" w:rsidRDefault="00CB19DE" w:rsidP="00CB19DE">
      <w:pPr>
        <w:pStyle w:val="Header"/>
        <w:spacing w:after="240"/>
        <w:ind w:left="1260"/>
        <w:rPr>
          <w:rFonts w:ascii="Arial" w:hAnsi="Arial" w:cs="Arial"/>
          <w:sz w:val="22"/>
          <w:szCs w:val="22"/>
        </w:rPr>
      </w:pPr>
      <w:r w:rsidRPr="00D2510F">
        <w:rPr>
          <w:rFonts w:ascii="Arial" w:hAnsi="Arial" w:cs="Arial"/>
          <w:sz w:val="22"/>
          <w:szCs w:val="22"/>
        </w:rPr>
        <w:t>Review and approval of the Monitoring Plan (Area Plan Exhibit 14 and Exhibit 14A) is the responsibility of the Division of Aging and Adult Services and will follow the process and time frames required to approve regional Area Plans.</w:t>
      </w:r>
    </w:p>
    <w:p w14:paraId="0B1E6C95" w14:textId="77777777" w:rsidR="00CB19DE" w:rsidRPr="00D2510F" w:rsidRDefault="00CB19DE" w:rsidP="00CB19DE">
      <w:pPr>
        <w:pStyle w:val="Header"/>
        <w:spacing w:after="120"/>
        <w:ind w:left="1260" w:hanging="360"/>
        <w:rPr>
          <w:rFonts w:ascii="Arial" w:hAnsi="Arial" w:cs="Arial"/>
          <w:sz w:val="22"/>
          <w:szCs w:val="22"/>
        </w:rPr>
      </w:pPr>
      <w:r w:rsidRPr="00D2510F">
        <w:rPr>
          <w:rFonts w:ascii="Arial" w:hAnsi="Arial" w:cs="Arial"/>
          <w:sz w:val="22"/>
          <w:szCs w:val="22"/>
        </w:rPr>
        <w:t xml:space="preserve">E.  </w:t>
      </w:r>
      <w:r w:rsidRPr="00D2510F">
        <w:rPr>
          <w:rFonts w:ascii="Arial" w:hAnsi="Arial" w:cs="Arial"/>
          <w:b/>
          <w:sz w:val="22"/>
          <w:szCs w:val="22"/>
        </w:rPr>
        <w:t>Programmatic Monitoring</w:t>
      </w:r>
      <w:r w:rsidRPr="00D2510F">
        <w:rPr>
          <w:rFonts w:ascii="Arial" w:hAnsi="Arial" w:cs="Arial"/>
          <w:sz w:val="22"/>
          <w:szCs w:val="22"/>
        </w:rPr>
        <w:t xml:space="preserve"> will be conducted on each new community service provider providing a service within the Planning and Service Area (PSA).  A review will not be needed if the provider is a current provider in another county within the respective PSA or if the provider is a current provider [in good standing] in another PSA.  This will be consistent with Section 308.3 of this policy.  </w:t>
      </w:r>
    </w:p>
    <w:p w14:paraId="2938555D" w14:textId="77777777" w:rsidR="00CB19DE" w:rsidRPr="00D2510F" w:rsidRDefault="00CB19DE" w:rsidP="00CB19DE">
      <w:pPr>
        <w:pStyle w:val="Header"/>
        <w:spacing w:after="240"/>
        <w:ind w:left="1260"/>
        <w:rPr>
          <w:rFonts w:ascii="Arial" w:hAnsi="Arial" w:cs="Arial"/>
          <w:sz w:val="22"/>
          <w:szCs w:val="22"/>
        </w:rPr>
      </w:pPr>
      <w:r w:rsidRPr="00D2510F">
        <w:rPr>
          <w:rFonts w:ascii="Arial" w:hAnsi="Arial" w:cs="Arial"/>
          <w:b/>
          <w:sz w:val="22"/>
          <w:szCs w:val="22"/>
        </w:rPr>
        <w:lastRenderedPageBreak/>
        <w:t>NEED</w:t>
      </w:r>
      <w:r w:rsidRPr="00D2510F">
        <w:rPr>
          <w:rFonts w:ascii="Arial" w:hAnsi="Arial" w:cs="Arial"/>
          <w:sz w:val="22"/>
          <w:szCs w:val="22"/>
        </w:rPr>
        <w:t xml:space="preserve"> is defined as the AAA’s knowledge or perception that a problem exists with a community service provider which has the potential to disrupt service, be an audit exception, and/or violate state or federal policy, laws, etc.  Need is determined through the </w:t>
      </w:r>
      <w:r w:rsidRPr="00111BB2">
        <w:rPr>
          <w:rFonts w:ascii="Arial" w:hAnsi="Arial" w:cs="Arial"/>
          <w:sz w:val="22"/>
          <w:szCs w:val="22"/>
        </w:rPr>
        <w:t>AAA’s annual risk monitoring process as defined in DAAS Administrative Letter 98-7 (see section</w:t>
      </w:r>
      <w:r w:rsidRPr="00D2510F">
        <w:rPr>
          <w:rFonts w:ascii="Arial" w:hAnsi="Arial" w:cs="Arial"/>
          <w:sz w:val="22"/>
          <w:szCs w:val="22"/>
        </w:rPr>
        <w:t xml:space="preserve"> 308.2 D above).  </w:t>
      </w:r>
    </w:p>
    <w:p w14:paraId="712FA454" w14:textId="77777777" w:rsidR="00CB19DE" w:rsidRPr="00D2510F" w:rsidRDefault="00CB19DE" w:rsidP="00CB19DE">
      <w:pPr>
        <w:spacing w:after="120"/>
        <w:ind w:left="1260" w:hanging="360"/>
        <w:rPr>
          <w:rFonts w:cs="Arial"/>
          <w:sz w:val="22"/>
          <w:szCs w:val="22"/>
        </w:rPr>
      </w:pPr>
      <w:r w:rsidRPr="00D2510F">
        <w:rPr>
          <w:rFonts w:cs="Arial"/>
          <w:sz w:val="22"/>
          <w:szCs w:val="22"/>
        </w:rPr>
        <w:t xml:space="preserve">F.  </w:t>
      </w:r>
      <w:r w:rsidRPr="00D2510F">
        <w:rPr>
          <w:rFonts w:cs="Arial"/>
          <w:b/>
          <w:sz w:val="22"/>
          <w:szCs w:val="22"/>
        </w:rPr>
        <w:t xml:space="preserve">Subcontractor Monitoring:  </w:t>
      </w:r>
      <w:r w:rsidRPr="00D2510F">
        <w:rPr>
          <w:rFonts w:cs="Arial"/>
          <w:sz w:val="22"/>
          <w:szCs w:val="22"/>
        </w:rPr>
        <w:t xml:space="preserve">Annually, between January 1 and June 1, providers must complete an </w:t>
      </w:r>
      <w:r w:rsidRPr="00D2510F">
        <w:rPr>
          <w:rFonts w:cs="Arial"/>
          <w:sz w:val="22"/>
          <w:szCs w:val="22"/>
          <w:u w:val="single"/>
        </w:rPr>
        <w:t>annual</w:t>
      </w:r>
      <w:r w:rsidRPr="00D2510F">
        <w:rPr>
          <w:rFonts w:cs="Arial"/>
          <w:sz w:val="22"/>
          <w:szCs w:val="22"/>
        </w:rPr>
        <w:t xml:space="preserve"> “Subcontractor Performance Evaluation” form on all subcontractors and submit to the AAA.  The purpose of the performance evaluation is to establish a regular review process for all community service providers</w:t>
      </w:r>
      <w:r w:rsidRPr="00D2510F">
        <w:rPr>
          <w:rFonts w:cs="Arial"/>
          <w:b/>
          <w:sz w:val="22"/>
          <w:szCs w:val="22"/>
        </w:rPr>
        <w:t xml:space="preserve"> </w:t>
      </w:r>
      <w:r w:rsidRPr="00D2510F">
        <w:rPr>
          <w:rFonts w:cs="Arial"/>
          <w:sz w:val="22"/>
          <w:szCs w:val="22"/>
        </w:rPr>
        <w:t>to verify that the subcontractor has met the terms and conditions of their subcontract.  The form has five minimum requirements for certain HCCBG services including Adult Day Care, Adult Day Health Care, In-Home Aide, Congregate Nutrition, Home Delivered Meals, Transportation and Housing and Home Improvement.  Depending on the subcontract, some items may be “not applicable”.  A generic Subcontractor Performance Evaluation Form must be used for all other services.  These forms also include space for specific language related to the specific subcontract provisions and verification of compliance being met. The AAA will review the Performance Evaluation Form to verify the annual review is completed and will be used in determining the provider level of risk for Exhibit 14 of the Area Plan.</w:t>
      </w:r>
    </w:p>
    <w:p w14:paraId="4BC018A9" w14:textId="77777777" w:rsidR="00CB19DE" w:rsidRPr="00D2510F" w:rsidRDefault="00CB19DE" w:rsidP="00CB19DE">
      <w:pPr>
        <w:spacing w:after="120"/>
        <w:ind w:left="1260" w:right="-180"/>
        <w:rPr>
          <w:rFonts w:cs="Arial"/>
          <w:sz w:val="22"/>
          <w:szCs w:val="22"/>
        </w:rPr>
      </w:pPr>
      <w:r w:rsidRPr="00D2510F">
        <w:rPr>
          <w:rFonts w:cs="Arial"/>
          <w:sz w:val="22"/>
          <w:szCs w:val="22"/>
        </w:rPr>
        <w:t>AAAs will monitor providers using the DAAS Service Monitoring tools and according to Exhibit 14 of the AAA Area Plan (a minimum of once every three years or more frequently depending on the level of risk).  Services subcontracted (fully or partially) will also be monitored by the AAA through one of the following methods:</w:t>
      </w:r>
    </w:p>
    <w:tbl>
      <w:tblPr>
        <w:tblW w:w="8303"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6683"/>
      </w:tblGrid>
      <w:tr w:rsidR="00CB19DE" w:rsidRPr="00D2510F" w14:paraId="09AB241D" w14:textId="77777777" w:rsidTr="009E0F1E">
        <w:tc>
          <w:tcPr>
            <w:tcW w:w="1620" w:type="dxa"/>
            <w:shd w:val="clear" w:color="auto" w:fill="auto"/>
          </w:tcPr>
          <w:p w14:paraId="237EE5D6" w14:textId="77777777" w:rsidR="00CB19DE" w:rsidRPr="00D2510F" w:rsidRDefault="00CB19DE" w:rsidP="009E0F1E">
            <w:pPr>
              <w:spacing w:after="120"/>
              <w:rPr>
                <w:rFonts w:cs="Arial"/>
                <w:sz w:val="22"/>
                <w:szCs w:val="22"/>
              </w:rPr>
            </w:pPr>
            <w:r w:rsidRPr="00D2510F">
              <w:rPr>
                <w:rFonts w:cs="Arial"/>
                <w:sz w:val="22"/>
                <w:szCs w:val="22"/>
              </w:rPr>
              <w:t>Subcontractor Monitoring Method 1</w:t>
            </w:r>
          </w:p>
        </w:tc>
        <w:tc>
          <w:tcPr>
            <w:tcW w:w="6683" w:type="dxa"/>
            <w:shd w:val="clear" w:color="auto" w:fill="auto"/>
          </w:tcPr>
          <w:p w14:paraId="5643FF6F" w14:textId="77777777" w:rsidR="00CB19DE" w:rsidRPr="00D2510F" w:rsidRDefault="00CB19DE" w:rsidP="009E0F1E">
            <w:pPr>
              <w:spacing w:after="120"/>
              <w:rPr>
                <w:rFonts w:cs="Arial"/>
                <w:sz w:val="22"/>
                <w:szCs w:val="22"/>
              </w:rPr>
            </w:pPr>
            <w:r w:rsidRPr="00D2510F">
              <w:rPr>
                <w:rFonts w:cs="Arial"/>
                <w:sz w:val="22"/>
                <w:szCs w:val="22"/>
              </w:rPr>
              <w:t xml:space="preserve">The AAA may monitor a subcontractor (optional: in the presence of the provider) to assure compliance for all service standard requirements that have been assigned to the subcontractor through a legally executed subcontract. </w:t>
            </w:r>
          </w:p>
        </w:tc>
      </w:tr>
      <w:tr w:rsidR="00CB19DE" w:rsidRPr="00D2510F" w14:paraId="382854CE" w14:textId="77777777" w:rsidTr="009E0F1E">
        <w:tc>
          <w:tcPr>
            <w:tcW w:w="1620" w:type="dxa"/>
            <w:shd w:val="clear" w:color="auto" w:fill="auto"/>
          </w:tcPr>
          <w:p w14:paraId="05951766" w14:textId="77777777" w:rsidR="00CB19DE" w:rsidRPr="00D2510F" w:rsidRDefault="00CB19DE" w:rsidP="009E0F1E">
            <w:pPr>
              <w:spacing w:after="120"/>
              <w:rPr>
                <w:rFonts w:cs="Arial"/>
                <w:sz w:val="22"/>
                <w:szCs w:val="22"/>
              </w:rPr>
            </w:pPr>
            <w:r w:rsidRPr="00D2510F">
              <w:rPr>
                <w:rFonts w:cs="Arial"/>
                <w:sz w:val="22"/>
                <w:szCs w:val="22"/>
              </w:rPr>
              <w:t>Subcontractor Monitoring Method 2</w:t>
            </w:r>
          </w:p>
        </w:tc>
        <w:tc>
          <w:tcPr>
            <w:tcW w:w="6683" w:type="dxa"/>
            <w:shd w:val="clear" w:color="auto" w:fill="auto"/>
          </w:tcPr>
          <w:p w14:paraId="43AF53A2" w14:textId="77777777" w:rsidR="00CB19DE" w:rsidRPr="00D2510F" w:rsidRDefault="00CB19DE" w:rsidP="009E0F1E">
            <w:pPr>
              <w:spacing w:after="120"/>
              <w:rPr>
                <w:rFonts w:cs="Arial"/>
                <w:sz w:val="22"/>
                <w:szCs w:val="22"/>
              </w:rPr>
            </w:pPr>
            <w:r w:rsidRPr="00D2510F">
              <w:rPr>
                <w:rFonts w:cs="Arial"/>
                <w:sz w:val="22"/>
                <w:szCs w:val="22"/>
              </w:rPr>
              <w:t xml:space="preserve">The AAA and the provider may monitor to assure compliance with all service standard requirements that have been assigned to the subcontractor through a legally executed subcontract.  </w:t>
            </w:r>
          </w:p>
        </w:tc>
      </w:tr>
      <w:tr w:rsidR="00CB19DE" w:rsidRPr="00D2510F" w14:paraId="0B06BD8B" w14:textId="77777777" w:rsidTr="009E0F1E">
        <w:tc>
          <w:tcPr>
            <w:tcW w:w="1620" w:type="dxa"/>
            <w:shd w:val="clear" w:color="auto" w:fill="auto"/>
          </w:tcPr>
          <w:p w14:paraId="7E4A2C56" w14:textId="77777777" w:rsidR="00CB19DE" w:rsidRPr="00D2510F" w:rsidRDefault="00CB19DE" w:rsidP="009E0F1E">
            <w:pPr>
              <w:spacing w:after="120"/>
              <w:rPr>
                <w:rFonts w:cs="Arial"/>
                <w:sz w:val="22"/>
                <w:szCs w:val="22"/>
              </w:rPr>
            </w:pPr>
            <w:r w:rsidRPr="00D2510F">
              <w:rPr>
                <w:rFonts w:cs="Arial"/>
                <w:sz w:val="22"/>
                <w:szCs w:val="22"/>
              </w:rPr>
              <w:t>Subcontractor Monitoring Method 3</w:t>
            </w:r>
          </w:p>
        </w:tc>
        <w:tc>
          <w:tcPr>
            <w:tcW w:w="6683" w:type="dxa"/>
            <w:shd w:val="clear" w:color="auto" w:fill="auto"/>
          </w:tcPr>
          <w:p w14:paraId="7E93E6B6" w14:textId="77777777" w:rsidR="00CB19DE" w:rsidRPr="00D2510F" w:rsidRDefault="00CB19DE" w:rsidP="009E0F1E">
            <w:pPr>
              <w:spacing w:after="120"/>
              <w:rPr>
                <w:rFonts w:cs="Arial"/>
                <w:sz w:val="22"/>
                <w:szCs w:val="22"/>
              </w:rPr>
            </w:pPr>
            <w:r w:rsidRPr="00D2510F">
              <w:rPr>
                <w:rFonts w:cs="Arial"/>
                <w:sz w:val="22"/>
                <w:szCs w:val="22"/>
              </w:rPr>
              <w:t>The AAA may accept the completed DAAS Service Monitoring Tool(s) and backup source documentation from the monitoring of a subcontractor completed by the provider.  This option would require the provider to complete the monitoring of subcontractors prior to the monitoring visit of the AAA on a schedule determined by the annual risk monitoring.</w:t>
            </w:r>
          </w:p>
        </w:tc>
      </w:tr>
    </w:tbl>
    <w:p w14:paraId="1CA246DA" w14:textId="77777777" w:rsidR="00CB19DE" w:rsidRPr="00D2510F" w:rsidRDefault="00CB19DE" w:rsidP="00CB19DE">
      <w:pPr>
        <w:spacing w:before="120" w:after="240"/>
        <w:ind w:left="1260"/>
        <w:rPr>
          <w:rFonts w:cs="Arial"/>
          <w:sz w:val="22"/>
          <w:szCs w:val="22"/>
        </w:rPr>
      </w:pPr>
      <w:r w:rsidRPr="00D2510F">
        <w:rPr>
          <w:rFonts w:cs="Arial"/>
          <w:sz w:val="22"/>
          <w:szCs w:val="22"/>
        </w:rPr>
        <w:t>A subcontractor is DEFINED as an entity that has been contracted to do a job within the scope of the service provider’s grant award.  The subcontractor is accountable for the same requirements as the service provider, depending on the terms of the subcontract.</w:t>
      </w:r>
    </w:p>
    <w:p w14:paraId="1884EC5E" w14:textId="77777777" w:rsidR="00CB19DE" w:rsidRPr="00D2510F" w:rsidRDefault="00CB19DE" w:rsidP="00CB19DE">
      <w:pPr>
        <w:pStyle w:val="Header"/>
        <w:numPr>
          <w:ilvl w:val="1"/>
          <w:numId w:val="0"/>
        </w:numPr>
        <w:spacing w:after="120"/>
        <w:ind w:left="900" w:hanging="900"/>
        <w:rPr>
          <w:rFonts w:ascii="Arial" w:hAnsi="Arial" w:cs="Arial"/>
          <w:b/>
          <w:i/>
          <w:sz w:val="22"/>
          <w:szCs w:val="22"/>
        </w:rPr>
      </w:pPr>
      <w:r w:rsidRPr="00D2510F">
        <w:rPr>
          <w:rFonts w:ascii="Arial" w:hAnsi="Arial" w:cs="Arial"/>
          <w:b/>
          <w:i/>
          <w:sz w:val="22"/>
          <w:szCs w:val="22"/>
        </w:rPr>
        <w:t xml:space="preserve">308.3: </w:t>
      </w:r>
      <w:r w:rsidRPr="00D2510F">
        <w:rPr>
          <w:rFonts w:ascii="Arial" w:hAnsi="Arial" w:cs="Arial"/>
          <w:b/>
          <w:i/>
          <w:sz w:val="22"/>
          <w:szCs w:val="22"/>
        </w:rPr>
        <w:tab/>
        <w:t>Scheduling Monitoring</w:t>
      </w:r>
    </w:p>
    <w:p w14:paraId="3E6C9D74" w14:textId="77777777" w:rsidR="00CB19DE" w:rsidRPr="00D2510F" w:rsidRDefault="00CB19DE" w:rsidP="00CB19DE">
      <w:pPr>
        <w:pStyle w:val="Header"/>
        <w:spacing w:after="120"/>
        <w:ind w:left="900"/>
        <w:rPr>
          <w:rFonts w:ascii="Arial" w:hAnsi="Arial" w:cs="Arial"/>
          <w:sz w:val="22"/>
          <w:szCs w:val="22"/>
        </w:rPr>
      </w:pPr>
      <w:r w:rsidRPr="00D2510F">
        <w:rPr>
          <w:rFonts w:ascii="Arial" w:hAnsi="Arial" w:cs="Arial"/>
          <w:sz w:val="22"/>
          <w:szCs w:val="22"/>
        </w:rPr>
        <w:t xml:space="preserve">The Area Agency on Aging will develop written procedures describing the process adopted in scheduling reviews </w:t>
      </w:r>
      <w:r w:rsidRPr="001A22BD">
        <w:rPr>
          <w:rFonts w:ascii="Arial" w:hAnsi="Arial" w:cs="Arial"/>
          <w:sz w:val="22"/>
          <w:szCs w:val="22"/>
        </w:rPr>
        <w:t xml:space="preserve">(i.e., </w:t>
      </w:r>
      <w:r w:rsidRPr="004B5168">
        <w:rPr>
          <w:rFonts w:ascii="Arial" w:hAnsi="Arial" w:cs="Arial"/>
          <w:sz w:val="22"/>
          <w:szCs w:val="22"/>
        </w:rPr>
        <w:t>on-site</w:t>
      </w:r>
      <w:r w:rsidRPr="001A22BD">
        <w:rPr>
          <w:rFonts w:ascii="Arial" w:hAnsi="Arial" w:cs="Arial"/>
          <w:sz w:val="22"/>
          <w:szCs w:val="22"/>
        </w:rPr>
        <w:t xml:space="preserve"> or desk monitoring</w:t>
      </w:r>
      <w:r w:rsidRPr="004B5168">
        <w:rPr>
          <w:rFonts w:ascii="Arial" w:hAnsi="Arial" w:cs="Arial"/>
          <w:sz w:val="22"/>
          <w:szCs w:val="22"/>
        </w:rPr>
        <w:t xml:space="preserve"> and virtual monitoring</w:t>
      </w:r>
      <w:r w:rsidRPr="001A22BD">
        <w:rPr>
          <w:rFonts w:ascii="Arial" w:hAnsi="Arial" w:cs="Arial"/>
          <w:sz w:val="22"/>
          <w:szCs w:val="22"/>
        </w:rPr>
        <w:t xml:space="preserve">) </w:t>
      </w:r>
      <w:r w:rsidRPr="00D2510F">
        <w:rPr>
          <w:rFonts w:ascii="Arial" w:hAnsi="Arial" w:cs="Arial"/>
          <w:sz w:val="22"/>
          <w:szCs w:val="22"/>
        </w:rPr>
        <w:t xml:space="preserve">with community service providers.  The monitoring period will begin on or after September 1 and will be completed by April 30.  If deemed necessary, follow-up visits </w:t>
      </w:r>
      <w:r w:rsidRPr="00D2510F">
        <w:rPr>
          <w:rFonts w:ascii="Arial" w:hAnsi="Arial" w:cs="Arial"/>
          <w:sz w:val="22"/>
          <w:szCs w:val="22"/>
        </w:rPr>
        <w:lastRenderedPageBreak/>
        <w:t>to review corrective action must be completed prior to June 30.  The following minimal areas will be addressed in the procedures:</w:t>
      </w:r>
    </w:p>
    <w:p w14:paraId="67E133AB" w14:textId="77777777" w:rsidR="00CB19DE" w:rsidRPr="00D2510F" w:rsidRDefault="00CB19DE" w:rsidP="00CB19DE">
      <w:pPr>
        <w:pStyle w:val="Header"/>
        <w:numPr>
          <w:ilvl w:val="0"/>
          <w:numId w:val="2"/>
        </w:numPr>
        <w:tabs>
          <w:tab w:val="clear" w:pos="360"/>
          <w:tab w:val="clear" w:pos="4680"/>
          <w:tab w:val="clear" w:pos="9360"/>
        </w:tabs>
        <w:spacing w:after="120"/>
        <w:ind w:left="1260"/>
        <w:rPr>
          <w:rFonts w:ascii="Arial" w:hAnsi="Arial" w:cs="Arial"/>
          <w:sz w:val="22"/>
          <w:szCs w:val="22"/>
        </w:rPr>
      </w:pPr>
      <w:r w:rsidRPr="00D2510F">
        <w:rPr>
          <w:rFonts w:ascii="Arial" w:hAnsi="Arial" w:cs="Arial"/>
          <w:sz w:val="22"/>
          <w:szCs w:val="22"/>
        </w:rPr>
        <w:t>Conditions or circumstances that would warrant exceptions to the annual time frames.</w:t>
      </w:r>
    </w:p>
    <w:p w14:paraId="458820BB" w14:textId="77777777" w:rsidR="00CB19DE" w:rsidRPr="00D2510F" w:rsidRDefault="00CB19DE" w:rsidP="00CB19DE">
      <w:pPr>
        <w:pStyle w:val="Header"/>
        <w:numPr>
          <w:ilvl w:val="0"/>
          <w:numId w:val="2"/>
        </w:numPr>
        <w:tabs>
          <w:tab w:val="clear" w:pos="360"/>
          <w:tab w:val="clear" w:pos="4680"/>
          <w:tab w:val="clear" w:pos="9360"/>
        </w:tabs>
        <w:spacing w:after="120"/>
        <w:ind w:left="1260"/>
        <w:rPr>
          <w:rFonts w:ascii="Arial" w:hAnsi="Arial" w:cs="Arial"/>
          <w:sz w:val="22"/>
          <w:szCs w:val="22"/>
        </w:rPr>
      </w:pPr>
      <w:r w:rsidRPr="00D2510F">
        <w:rPr>
          <w:rFonts w:ascii="Arial" w:hAnsi="Arial" w:cs="Arial"/>
          <w:sz w:val="22"/>
          <w:szCs w:val="22"/>
        </w:rPr>
        <w:t>Procedures for sending a written confirmation of the date of the review sent at least 30</w:t>
      </w:r>
      <w:r>
        <w:rPr>
          <w:rFonts w:ascii="Arial" w:hAnsi="Arial" w:cs="Arial"/>
          <w:sz w:val="22"/>
          <w:szCs w:val="22"/>
        </w:rPr>
        <w:t xml:space="preserve"> </w:t>
      </w:r>
      <w:r w:rsidRPr="004B5168">
        <w:rPr>
          <w:rFonts w:ascii="Arial" w:hAnsi="Arial" w:cs="Arial"/>
          <w:sz w:val="22"/>
          <w:szCs w:val="22"/>
        </w:rPr>
        <w:t xml:space="preserve">business </w:t>
      </w:r>
      <w:r w:rsidRPr="001A22BD">
        <w:rPr>
          <w:rFonts w:ascii="Arial" w:hAnsi="Arial" w:cs="Arial"/>
          <w:sz w:val="22"/>
          <w:szCs w:val="22"/>
        </w:rPr>
        <w:t xml:space="preserve">days prior to the </w:t>
      </w:r>
      <w:r w:rsidRPr="004B5168">
        <w:rPr>
          <w:rFonts w:ascii="Arial" w:hAnsi="Arial" w:cs="Arial"/>
          <w:sz w:val="22"/>
          <w:szCs w:val="22"/>
        </w:rPr>
        <w:t>monitoring</w:t>
      </w:r>
      <w:r w:rsidRPr="001A22BD">
        <w:rPr>
          <w:rFonts w:ascii="Arial" w:hAnsi="Arial" w:cs="Arial"/>
          <w:sz w:val="22"/>
          <w:szCs w:val="22"/>
        </w:rPr>
        <w:t xml:space="preserve">. </w:t>
      </w:r>
    </w:p>
    <w:p w14:paraId="125C7835" w14:textId="77777777" w:rsidR="00CB19DE" w:rsidRPr="00D2510F" w:rsidRDefault="00CB19DE" w:rsidP="00CB19DE">
      <w:pPr>
        <w:pStyle w:val="Header"/>
        <w:numPr>
          <w:ilvl w:val="0"/>
          <w:numId w:val="2"/>
        </w:numPr>
        <w:tabs>
          <w:tab w:val="clear" w:pos="360"/>
          <w:tab w:val="clear" w:pos="4680"/>
          <w:tab w:val="clear" w:pos="9360"/>
        </w:tabs>
        <w:spacing w:after="120"/>
        <w:ind w:left="1260"/>
        <w:rPr>
          <w:rFonts w:ascii="Arial" w:hAnsi="Arial" w:cs="Arial"/>
          <w:sz w:val="22"/>
          <w:szCs w:val="22"/>
        </w:rPr>
      </w:pPr>
      <w:r w:rsidRPr="00D2510F">
        <w:rPr>
          <w:rFonts w:ascii="Arial" w:hAnsi="Arial" w:cs="Arial"/>
          <w:sz w:val="22"/>
          <w:szCs w:val="22"/>
        </w:rPr>
        <w:t xml:space="preserve">Procedures for notifying community service providers of the method subcontracts will be monitored (see Section 308.2 F). </w:t>
      </w:r>
    </w:p>
    <w:p w14:paraId="007C4DAB" w14:textId="77777777" w:rsidR="00CB19DE" w:rsidRPr="00D2510F" w:rsidRDefault="00CB19DE" w:rsidP="00CB19DE">
      <w:pPr>
        <w:pStyle w:val="Header"/>
        <w:numPr>
          <w:ilvl w:val="0"/>
          <w:numId w:val="2"/>
        </w:numPr>
        <w:tabs>
          <w:tab w:val="clear" w:pos="360"/>
          <w:tab w:val="clear" w:pos="4680"/>
          <w:tab w:val="clear" w:pos="9360"/>
        </w:tabs>
        <w:spacing w:after="120"/>
        <w:ind w:left="1260"/>
        <w:rPr>
          <w:rFonts w:ascii="Arial" w:hAnsi="Arial" w:cs="Arial"/>
          <w:sz w:val="22"/>
          <w:szCs w:val="22"/>
        </w:rPr>
      </w:pPr>
      <w:r w:rsidRPr="00D2510F">
        <w:rPr>
          <w:rFonts w:ascii="Arial" w:hAnsi="Arial" w:cs="Arial"/>
          <w:sz w:val="22"/>
          <w:szCs w:val="22"/>
        </w:rPr>
        <w:t>Name and position of the Area Agency on Aging staff who normally conduct reviews.</w:t>
      </w:r>
    </w:p>
    <w:p w14:paraId="3BBC4661" w14:textId="77777777" w:rsidR="00CB19DE" w:rsidRPr="00D2510F" w:rsidRDefault="00CB19DE" w:rsidP="00CB19DE">
      <w:pPr>
        <w:pStyle w:val="Header"/>
        <w:numPr>
          <w:ilvl w:val="0"/>
          <w:numId w:val="2"/>
        </w:numPr>
        <w:tabs>
          <w:tab w:val="clear" w:pos="360"/>
          <w:tab w:val="clear" w:pos="4680"/>
          <w:tab w:val="clear" w:pos="9360"/>
        </w:tabs>
        <w:spacing w:after="120"/>
        <w:ind w:left="1260"/>
        <w:rPr>
          <w:rFonts w:ascii="Arial" w:hAnsi="Arial" w:cs="Arial"/>
          <w:sz w:val="22"/>
          <w:szCs w:val="22"/>
        </w:rPr>
      </w:pPr>
      <w:r w:rsidRPr="00D2510F">
        <w:rPr>
          <w:rFonts w:ascii="Arial" w:hAnsi="Arial" w:cs="Arial"/>
          <w:sz w:val="22"/>
          <w:szCs w:val="22"/>
        </w:rPr>
        <w:t>Community provider staff who are expected to participate.</w:t>
      </w:r>
    </w:p>
    <w:p w14:paraId="40E4C5FD" w14:textId="77777777" w:rsidR="00CB19DE" w:rsidRPr="00D2510F" w:rsidRDefault="00CB19DE" w:rsidP="00CB19DE">
      <w:pPr>
        <w:pStyle w:val="Header"/>
        <w:spacing w:after="240"/>
        <w:ind w:left="900"/>
        <w:rPr>
          <w:rFonts w:ascii="Arial" w:hAnsi="Arial" w:cs="Arial"/>
          <w:sz w:val="22"/>
          <w:szCs w:val="22"/>
        </w:rPr>
      </w:pPr>
      <w:r w:rsidRPr="00D2510F">
        <w:rPr>
          <w:rFonts w:ascii="Arial" w:hAnsi="Arial" w:cs="Arial"/>
          <w:sz w:val="22"/>
          <w:szCs w:val="22"/>
        </w:rPr>
        <w:t xml:space="preserve">Providers of services in more than one Planning and Service Area will be </w:t>
      </w:r>
      <w:r w:rsidRPr="00D2510F">
        <w:rPr>
          <w:rFonts w:ascii="Arial" w:hAnsi="Arial" w:cs="Arial"/>
          <w:sz w:val="22"/>
          <w:szCs w:val="22"/>
          <w:u w:val="single"/>
        </w:rPr>
        <w:t>reviewed</w:t>
      </w:r>
      <w:r w:rsidRPr="00D2510F">
        <w:rPr>
          <w:rFonts w:ascii="Arial" w:hAnsi="Arial" w:cs="Arial"/>
          <w:sz w:val="22"/>
          <w:szCs w:val="22"/>
        </w:rPr>
        <w:t xml:space="preserve"> in accordance with policy.  Area Agencies are to share monitoring information and coordinate the review process with the other involved Area Agency(</w:t>
      </w:r>
      <w:proofErr w:type="spellStart"/>
      <w:r w:rsidRPr="00D2510F">
        <w:rPr>
          <w:rFonts w:ascii="Arial" w:hAnsi="Arial" w:cs="Arial"/>
          <w:sz w:val="22"/>
          <w:szCs w:val="22"/>
        </w:rPr>
        <w:t>ies</w:t>
      </w:r>
      <w:proofErr w:type="spellEnd"/>
      <w:r w:rsidRPr="00D2510F">
        <w:rPr>
          <w:rFonts w:ascii="Arial" w:hAnsi="Arial" w:cs="Arial"/>
          <w:sz w:val="22"/>
          <w:szCs w:val="22"/>
        </w:rPr>
        <w:t>) on Aging to avoid duplicate reviews of service providers during any State Fiscal Year.</w:t>
      </w:r>
    </w:p>
    <w:p w14:paraId="238C5C8B" w14:textId="77777777" w:rsidR="00CB19DE" w:rsidRPr="00D2510F" w:rsidRDefault="00CB19DE" w:rsidP="00CB19DE">
      <w:pPr>
        <w:pStyle w:val="Header"/>
        <w:numPr>
          <w:ilvl w:val="1"/>
          <w:numId w:val="0"/>
        </w:numPr>
        <w:spacing w:after="120"/>
        <w:ind w:left="900" w:hanging="900"/>
        <w:rPr>
          <w:rFonts w:ascii="Arial" w:hAnsi="Arial" w:cs="Arial"/>
          <w:b/>
          <w:i/>
          <w:sz w:val="22"/>
          <w:szCs w:val="22"/>
        </w:rPr>
      </w:pPr>
      <w:r w:rsidRPr="00D2510F">
        <w:rPr>
          <w:rFonts w:ascii="Arial" w:hAnsi="Arial" w:cs="Arial"/>
          <w:b/>
          <w:i/>
          <w:sz w:val="22"/>
          <w:szCs w:val="22"/>
        </w:rPr>
        <w:t>308.4:</w:t>
      </w:r>
      <w:r w:rsidRPr="00D2510F">
        <w:rPr>
          <w:rFonts w:ascii="Arial" w:hAnsi="Arial" w:cs="Arial"/>
          <w:b/>
          <w:i/>
          <w:sz w:val="22"/>
          <w:szCs w:val="22"/>
        </w:rPr>
        <w:tab/>
        <w:t>Monitoring Reports</w:t>
      </w:r>
    </w:p>
    <w:p w14:paraId="5AC70DF8" w14:textId="77777777" w:rsidR="00CB19DE" w:rsidRPr="00D2510F" w:rsidRDefault="00CB19DE" w:rsidP="00CB19DE">
      <w:pPr>
        <w:pStyle w:val="Header"/>
        <w:numPr>
          <w:ilvl w:val="0"/>
          <w:numId w:val="3"/>
        </w:numPr>
        <w:tabs>
          <w:tab w:val="clear" w:pos="360"/>
          <w:tab w:val="clear" w:pos="4680"/>
          <w:tab w:val="clear" w:pos="9360"/>
        </w:tabs>
        <w:spacing w:after="120"/>
        <w:ind w:left="1260" w:right="-180"/>
        <w:rPr>
          <w:rFonts w:ascii="Arial" w:hAnsi="Arial" w:cs="Arial"/>
          <w:sz w:val="22"/>
          <w:szCs w:val="22"/>
        </w:rPr>
      </w:pPr>
      <w:r w:rsidRPr="00D2510F">
        <w:rPr>
          <w:rFonts w:ascii="Arial" w:hAnsi="Arial" w:cs="Arial"/>
          <w:sz w:val="22"/>
          <w:szCs w:val="22"/>
        </w:rPr>
        <w:t xml:space="preserve">The purpose of the monitoring report is to provide timely and meaningful information to the community service provider pertinent to the findings of the </w:t>
      </w:r>
      <w:r w:rsidRPr="00AF5444">
        <w:rPr>
          <w:rFonts w:ascii="Arial" w:hAnsi="Arial" w:cs="Arial"/>
          <w:sz w:val="22"/>
          <w:szCs w:val="22"/>
        </w:rPr>
        <w:t xml:space="preserve">monitoring </w:t>
      </w:r>
      <w:r w:rsidRPr="00D2510F">
        <w:rPr>
          <w:rFonts w:ascii="Arial" w:hAnsi="Arial" w:cs="Arial"/>
          <w:sz w:val="22"/>
          <w:szCs w:val="22"/>
        </w:rPr>
        <w:t>review.</w:t>
      </w:r>
    </w:p>
    <w:p w14:paraId="216FDC41" w14:textId="77777777" w:rsidR="00CB19DE" w:rsidRPr="00D2510F" w:rsidRDefault="00CB19DE" w:rsidP="00CB19DE">
      <w:pPr>
        <w:pStyle w:val="Header"/>
        <w:tabs>
          <w:tab w:val="left" w:pos="2610"/>
        </w:tabs>
        <w:spacing w:after="120"/>
        <w:ind w:left="1620" w:hanging="360"/>
        <w:rPr>
          <w:rFonts w:ascii="Arial" w:hAnsi="Arial" w:cs="Arial"/>
          <w:sz w:val="22"/>
          <w:szCs w:val="22"/>
        </w:rPr>
      </w:pPr>
      <w:r w:rsidRPr="00D2510F">
        <w:rPr>
          <w:rFonts w:ascii="Arial" w:hAnsi="Arial" w:cs="Arial"/>
          <w:sz w:val="22"/>
          <w:szCs w:val="22"/>
        </w:rPr>
        <w:t>1.</w:t>
      </w:r>
      <w:r w:rsidRPr="00D2510F">
        <w:rPr>
          <w:rFonts w:ascii="Arial" w:hAnsi="Arial" w:cs="Arial"/>
          <w:sz w:val="22"/>
          <w:szCs w:val="22"/>
        </w:rPr>
        <w:tab/>
        <w:t xml:space="preserve">The Area Agency on Aging will develop written procedures that describe the process of preparing written monitoring reports based on the monitoring of community service providers.  </w:t>
      </w:r>
    </w:p>
    <w:p w14:paraId="5B617870" w14:textId="77777777" w:rsidR="00CB19DE" w:rsidRPr="00D2510F" w:rsidRDefault="00CB19DE" w:rsidP="00CB19DE">
      <w:pPr>
        <w:pStyle w:val="BodyText"/>
        <w:numPr>
          <w:ilvl w:val="0"/>
          <w:numId w:val="4"/>
        </w:numPr>
        <w:tabs>
          <w:tab w:val="clear" w:pos="360"/>
          <w:tab w:val="num" w:pos="450"/>
        </w:tabs>
        <w:spacing w:line="240" w:lineRule="auto"/>
        <w:ind w:left="1620" w:right="-396"/>
        <w:rPr>
          <w:rFonts w:ascii="Arial" w:hAnsi="Arial" w:cs="Arial"/>
        </w:rPr>
      </w:pPr>
      <w:r w:rsidRPr="00D2510F">
        <w:rPr>
          <w:rFonts w:ascii="Arial" w:hAnsi="Arial" w:cs="Arial"/>
        </w:rPr>
        <w:t xml:space="preserve">Monitoring reports from the Area Agency on Aging to their subrecipients must be submitted in writing within </w:t>
      </w:r>
      <w:r w:rsidRPr="00AF5444">
        <w:rPr>
          <w:rFonts w:ascii="Arial" w:hAnsi="Arial" w:cs="Arial"/>
        </w:rPr>
        <w:t xml:space="preserve">30 business </w:t>
      </w:r>
      <w:r w:rsidRPr="001A22BD">
        <w:rPr>
          <w:rFonts w:ascii="Arial" w:hAnsi="Arial" w:cs="Arial"/>
        </w:rPr>
        <w:t xml:space="preserve">days of the </w:t>
      </w:r>
      <w:r w:rsidRPr="00AF5444">
        <w:rPr>
          <w:rFonts w:ascii="Arial" w:hAnsi="Arial" w:cs="Arial"/>
        </w:rPr>
        <w:t>monitoring review</w:t>
      </w:r>
      <w:r w:rsidRPr="001A22BD">
        <w:rPr>
          <w:rFonts w:ascii="Arial" w:hAnsi="Arial" w:cs="Arial"/>
        </w:rPr>
        <w:t xml:space="preserve">. </w:t>
      </w:r>
      <w:r w:rsidRPr="00D2510F">
        <w:rPr>
          <w:rFonts w:ascii="Arial" w:hAnsi="Arial" w:cs="Arial"/>
        </w:rPr>
        <w:t>Each report contains the following information:</w:t>
      </w:r>
    </w:p>
    <w:p w14:paraId="45563DD3" w14:textId="77777777" w:rsidR="00CB19DE" w:rsidRPr="00D2510F" w:rsidRDefault="00CB19DE" w:rsidP="00CB19DE">
      <w:pPr>
        <w:pStyle w:val="BodyText"/>
        <w:numPr>
          <w:ilvl w:val="0"/>
          <w:numId w:val="17"/>
        </w:numPr>
        <w:spacing w:line="240" w:lineRule="auto"/>
        <w:ind w:left="1980" w:right="-396"/>
        <w:rPr>
          <w:rFonts w:ascii="Arial" w:hAnsi="Arial" w:cs="Arial"/>
        </w:rPr>
      </w:pPr>
      <w:r w:rsidRPr="00D2510F">
        <w:rPr>
          <w:rFonts w:ascii="Arial" w:hAnsi="Arial" w:cs="Arial"/>
        </w:rPr>
        <w:t>Name and address of community service provider monitored,</w:t>
      </w:r>
    </w:p>
    <w:p w14:paraId="188E9907" w14:textId="77777777" w:rsidR="00CB19DE" w:rsidRPr="00D2510F" w:rsidRDefault="00CB19DE" w:rsidP="00CB19DE">
      <w:pPr>
        <w:pStyle w:val="BodyText"/>
        <w:numPr>
          <w:ilvl w:val="0"/>
          <w:numId w:val="17"/>
        </w:numPr>
        <w:spacing w:line="240" w:lineRule="auto"/>
        <w:ind w:left="1980" w:right="-396"/>
        <w:rPr>
          <w:rFonts w:ascii="Arial" w:hAnsi="Arial" w:cs="Arial"/>
        </w:rPr>
      </w:pPr>
      <w:r w:rsidRPr="00D2510F">
        <w:rPr>
          <w:rFonts w:ascii="Arial" w:hAnsi="Arial" w:cs="Arial"/>
        </w:rPr>
        <w:t xml:space="preserve">Fund Sources and specific program monitored, </w:t>
      </w:r>
    </w:p>
    <w:p w14:paraId="31915F0F" w14:textId="77777777" w:rsidR="00CB19DE" w:rsidRPr="00D2510F" w:rsidRDefault="00CB19DE" w:rsidP="00CB19DE">
      <w:pPr>
        <w:pStyle w:val="BodyText"/>
        <w:numPr>
          <w:ilvl w:val="0"/>
          <w:numId w:val="17"/>
        </w:numPr>
        <w:spacing w:line="240" w:lineRule="auto"/>
        <w:ind w:left="1980" w:right="-396"/>
        <w:rPr>
          <w:rFonts w:ascii="Arial" w:hAnsi="Arial" w:cs="Arial"/>
        </w:rPr>
      </w:pPr>
      <w:r w:rsidRPr="00D2510F">
        <w:rPr>
          <w:rFonts w:ascii="Arial" w:hAnsi="Arial" w:cs="Arial"/>
        </w:rPr>
        <w:t>Name and title of monitoring staff,</w:t>
      </w:r>
    </w:p>
    <w:p w14:paraId="30F8A129" w14:textId="77777777" w:rsidR="00CB19DE" w:rsidRPr="00D2510F" w:rsidRDefault="00CB19DE" w:rsidP="00CB19DE">
      <w:pPr>
        <w:pStyle w:val="BodyText"/>
        <w:numPr>
          <w:ilvl w:val="0"/>
          <w:numId w:val="17"/>
        </w:numPr>
        <w:spacing w:line="240" w:lineRule="auto"/>
        <w:ind w:left="1980" w:right="-396"/>
        <w:rPr>
          <w:rFonts w:ascii="Arial" w:hAnsi="Arial" w:cs="Arial"/>
        </w:rPr>
      </w:pPr>
      <w:r w:rsidRPr="00D2510F">
        <w:rPr>
          <w:rFonts w:ascii="Arial" w:hAnsi="Arial" w:cs="Arial"/>
        </w:rPr>
        <w:t xml:space="preserve">A summary of the areas reviewed during the </w:t>
      </w:r>
      <w:r w:rsidRPr="00AF5444">
        <w:rPr>
          <w:rFonts w:ascii="Arial" w:hAnsi="Arial" w:cs="Arial"/>
        </w:rPr>
        <w:t>monitoring</w:t>
      </w:r>
      <w:r w:rsidRPr="001A22BD">
        <w:rPr>
          <w:rFonts w:ascii="Arial" w:hAnsi="Arial" w:cs="Arial"/>
        </w:rPr>
        <w:t xml:space="preserve"> </w:t>
      </w:r>
      <w:r w:rsidRPr="00D2510F">
        <w:rPr>
          <w:rFonts w:ascii="Arial" w:hAnsi="Arial" w:cs="Arial"/>
        </w:rPr>
        <w:t xml:space="preserve">and, </w:t>
      </w:r>
      <w:r w:rsidRPr="00D2510F">
        <w:rPr>
          <w:rFonts w:ascii="Arial" w:hAnsi="Arial" w:cs="Arial"/>
          <w:u w:val="single"/>
        </w:rPr>
        <w:t>if applicable,</w:t>
      </w:r>
      <w:r w:rsidRPr="00D2510F">
        <w:rPr>
          <w:rFonts w:ascii="Arial" w:hAnsi="Arial" w:cs="Arial"/>
        </w:rPr>
        <w:t xml:space="preserve"> a list of the non-compliance programmatic findings,</w:t>
      </w:r>
    </w:p>
    <w:p w14:paraId="4D4B6C26" w14:textId="77777777" w:rsidR="00CB19DE" w:rsidRPr="001634A7" w:rsidRDefault="00CB19DE" w:rsidP="00CB19DE">
      <w:pPr>
        <w:pStyle w:val="BodyText"/>
        <w:numPr>
          <w:ilvl w:val="0"/>
          <w:numId w:val="17"/>
        </w:numPr>
        <w:spacing w:line="240" w:lineRule="auto"/>
        <w:ind w:left="1980" w:right="-396"/>
        <w:rPr>
          <w:rFonts w:ascii="Arial" w:hAnsi="Arial" w:cs="Arial"/>
        </w:rPr>
      </w:pPr>
      <w:r w:rsidRPr="001634A7">
        <w:rPr>
          <w:rFonts w:ascii="Arial" w:hAnsi="Arial" w:cs="Arial"/>
        </w:rPr>
        <w:t xml:space="preserve">acknowledgement of compliance or non-compliance as related to the </w:t>
      </w:r>
      <w:r w:rsidRPr="001634A7">
        <w:rPr>
          <w:rFonts w:ascii="Arial" w:hAnsi="Arial" w:cs="Arial"/>
          <w:u w:val="single"/>
        </w:rPr>
        <w:t>applicable</w:t>
      </w:r>
      <w:r w:rsidRPr="001634A7">
        <w:rPr>
          <w:rFonts w:ascii="Arial" w:hAnsi="Arial" w:cs="Arial"/>
        </w:rPr>
        <w:t xml:space="preserve"> Audit Supplement Criteria </w:t>
      </w:r>
      <w:r w:rsidRPr="001634A7">
        <w:rPr>
          <w:rFonts w:ascii="Arial" w:hAnsi="Arial" w:cs="Arial"/>
          <w:b/>
        </w:rPr>
        <w:t>by funding source</w:t>
      </w:r>
      <w:r w:rsidRPr="001634A7">
        <w:rPr>
          <w:rFonts w:ascii="Arial" w:hAnsi="Arial" w:cs="Arial"/>
        </w:rPr>
        <w:t xml:space="preserve"> </w:t>
      </w:r>
      <w:r w:rsidRPr="001634A7">
        <w:rPr>
          <w:rFonts w:ascii="Arial" w:hAnsi="Arial" w:cs="Arial"/>
          <w:b/>
        </w:rPr>
        <w:t>(CFDA #)</w:t>
      </w:r>
      <w:r w:rsidRPr="001634A7">
        <w:rPr>
          <w:rFonts w:ascii="Arial" w:hAnsi="Arial" w:cs="Arial"/>
        </w:rPr>
        <w:t>, which are:</w:t>
      </w:r>
    </w:p>
    <w:p w14:paraId="6180C7DE" w14:textId="77777777" w:rsidR="00CB19DE" w:rsidRPr="00AF5444" w:rsidRDefault="00CB19DE" w:rsidP="00CB19DE">
      <w:pPr>
        <w:pStyle w:val="BodyText"/>
        <w:widowControl w:val="0"/>
        <w:numPr>
          <w:ilvl w:val="0"/>
          <w:numId w:val="9"/>
        </w:numPr>
        <w:spacing w:after="0" w:line="240" w:lineRule="auto"/>
        <w:ind w:left="2340" w:right="-403"/>
        <w:rPr>
          <w:rFonts w:ascii="Arial" w:hAnsi="Arial" w:cs="Arial"/>
        </w:rPr>
      </w:pPr>
      <w:r w:rsidRPr="00AF5444">
        <w:rPr>
          <w:rFonts w:ascii="Arial" w:hAnsi="Arial" w:cs="Arial"/>
        </w:rPr>
        <w:t>Activities Allowed or Unallowed</w:t>
      </w:r>
    </w:p>
    <w:p w14:paraId="2480763A" w14:textId="77777777" w:rsidR="00CB19DE" w:rsidRPr="00AF5444" w:rsidRDefault="00CB19DE" w:rsidP="00CB19DE">
      <w:pPr>
        <w:pStyle w:val="BodyText"/>
        <w:widowControl w:val="0"/>
        <w:numPr>
          <w:ilvl w:val="0"/>
          <w:numId w:val="9"/>
        </w:numPr>
        <w:spacing w:after="0" w:line="240" w:lineRule="auto"/>
        <w:ind w:left="2340" w:right="-403"/>
        <w:rPr>
          <w:rFonts w:ascii="Arial" w:hAnsi="Arial" w:cs="Arial"/>
        </w:rPr>
      </w:pPr>
      <w:r w:rsidRPr="00AF5444">
        <w:rPr>
          <w:rFonts w:ascii="Arial" w:hAnsi="Arial" w:cs="Arial"/>
        </w:rPr>
        <w:t>Allowable Costs/Cost Principles</w:t>
      </w:r>
    </w:p>
    <w:p w14:paraId="6F445C18" w14:textId="77777777" w:rsidR="00CB19DE" w:rsidRPr="00AF5444" w:rsidRDefault="00CB19DE" w:rsidP="00CB19DE">
      <w:pPr>
        <w:pStyle w:val="BodyText"/>
        <w:widowControl w:val="0"/>
        <w:numPr>
          <w:ilvl w:val="0"/>
          <w:numId w:val="9"/>
        </w:numPr>
        <w:spacing w:after="0" w:line="240" w:lineRule="auto"/>
        <w:ind w:left="2340" w:right="-403"/>
        <w:rPr>
          <w:rFonts w:ascii="Arial" w:hAnsi="Arial" w:cs="Arial"/>
        </w:rPr>
      </w:pPr>
      <w:r w:rsidRPr="00AF5444">
        <w:rPr>
          <w:rFonts w:ascii="Arial" w:hAnsi="Arial" w:cs="Arial"/>
        </w:rPr>
        <w:t>Cash Management: (</w:t>
      </w:r>
      <w:r w:rsidRPr="00AF5444">
        <w:rPr>
          <w:rFonts w:ascii="Arial" w:hAnsi="Arial" w:cs="Arial"/>
          <w:i/>
        </w:rPr>
        <w:t>Not applicable to aging)</w:t>
      </w:r>
    </w:p>
    <w:p w14:paraId="2C8DFA6F" w14:textId="77777777" w:rsidR="00CB19DE" w:rsidRPr="00AF5444" w:rsidRDefault="00CB19DE" w:rsidP="00CB19DE">
      <w:pPr>
        <w:pStyle w:val="BodyText"/>
        <w:widowControl w:val="0"/>
        <w:numPr>
          <w:ilvl w:val="0"/>
          <w:numId w:val="9"/>
        </w:numPr>
        <w:spacing w:after="0" w:line="240" w:lineRule="auto"/>
        <w:ind w:left="2340" w:right="-403"/>
        <w:rPr>
          <w:rFonts w:ascii="Arial" w:hAnsi="Arial" w:cs="Arial"/>
        </w:rPr>
      </w:pPr>
      <w:r w:rsidRPr="00AF5444">
        <w:rPr>
          <w:rFonts w:ascii="Arial" w:hAnsi="Arial" w:cs="Arial"/>
        </w:rPr>
        <w:t>Eligibility</w:t>
      </w:r>
    </w:p>
    <w:p w14:paraId="5DCD3596" w14:textId="77777777" w:rsidR="00CB19DE" w:rsidRPr="00AF5444" w:rsidRDefault="00CB19DE" w:rsidP="00CB19DE">
      <w:pPr>
        <w:pStyle w:val="BodyText"/>
        <w:widowControl w:val="0"/>
        <w:numPr>
          <w:ilvl w:val="0"/>
          <w:numId w:val="9"/>
        </w:numPr>
        <w:spacing w:after="0" w:line="240" w:lineRule="auto"/>
        <w:ind w:left="2340" w:right="-403"/>
        <w:rPr>
          <w:rFonts w:ascii="Arial" w:hAnsi="Arial" w:cs="Arial"/>
        </w:rPr>
      </w:pPr>
      <w:r w:rsidRPr="00AF5444">
        <w:rPr>
          <w:rFonts w:ascii="Arial" w:hAnsi="Arial" w:cs="Arial"/>
        </w:rPr>
        <w:t>Equipment and Real Property Management</w:t>
      </w:r>
    </w:p>
    <w:p w14:paraId="248D9D5A" w14:textId="77777777" w:rsidR="00CB19DE" w:rsidRPr="00AF5444" w:rsidRDefault="00CB19DE" w:rsidP="00CB19DE">
      <w:pPr>
        <w:pStyle w:val="BodyText"/>
        <w:widowControl w:val="0"/>
        <w:numPr>
          <w:ilvl w:val="0"/>
          <w:numId w:val="9"/>
        </w:numPr>
        <w:spacing w:after="0" w:line="240" w:lineRule="auto"/>
        <w:ind w:left="2340" w:right="-403"/>
        <w:rPr>
          <w:rFonts w:ascii="Arial" w:hAnsi="Arial" w:cs="Arial"/>
        </w:rPr>
      </w:pPr>
      <w:r w:rsidRPr="00AF5444">
        <w:rPr>
          <w:rFonts w:ascii="Arial" w:hAnsi="Arial" w:cs="Arial"/>
        </w:rPr>
        <w:t>Matching, Level of Effort, Earmarking</w:t>
      </w:r>
    </w:p>
    <w:p w14:paraId="67DA41B6" w14:textId="77777777" w:rsidR="00CB19DE" w:rsidRPr="00AF5444" w:rsidRDefault="00CB19DE" w:rsidP="00CB19DE">
      <w:pPr>
        <w:pStyle w:val="BodyText"/>
        <w:widowControl w:val="0"/>
        <w:numPr>
          <w:ilvl w:val="0"/>
          <w:numId w:val="9"/>
        </w:numPr>
        <w:spacing w:after="0" w:line="240" w:lineRule="auto"/>
        <w:ind w:left="2340" w:right="-403"/>
        <w:rPr>
          <w:rFonts w:ascii="Arial" w:hAnsi="Arial" w:cs="Arial"/>
        </w:rPr>
      </w:pPr>
      <w:r w:rsidRPr="00AF5444">
        <w:rPr>
          <w:rFonts w:ascii="Arial" w:hAnsi="Arial" w:cs="Arial"/>
        </w:rPr>
        <w:t>Period of Performance</w:t>
      </w:r>
    </w:p>
    <w:p w14:paraId="3B17CFEA" w14:textId="77777777" w:rsidR="00CB19DE" w:rsidRPr="00AF5444" w:rsidRDefault="00CB19DE" w:rsidP="00CB19DE">
      <w:pPr>
        <w:pStyle w:val="BodyText"/>
        <w:widowControl w:val="0"/>
        <w:numPr>
          <w:ilvl w:val="0"/>
          <w:numId w:val="9"/>
        </w:numPr>
        <w:spacing w:after="0" w:line="240" w:lineRule="auto"/>
        <w:ind w:left="2340" w:right="-403"/>
        <w:rPr>
          <w:rFonts w:ascii="Arial" w:hAnsi="Arial" w:cs="Arial"/>
        </w:rPr>
      </w:pPr>
      <w:r w:rsidRPr="00AF5444">
        <w:rPr>
          <w:rFonts w:ascii="Arial" w:hAnsi="Arial" w:cs="Arial"/>
        </w:rPr>
        <w:t>Procurement and Suspension and Debarment</w:t>
      </w:r>
    </w:p>
    <w:p w14:paraId="1B9013F5" w14:textId="77777777" w:rsidR="00CB19DE" w:rsidRPr="00AF5444" w:rsidRDefault="00CB19DE" w:rsidP="00CB19DE">
      <w:pPr>
        <w:pStyle w:val="BodyText"/>
        <w:widowControl w:val="0"/>
        <w:numPr>
          <w:ilvl w:val="0"/>
          <w:numId w:val="9"/>
        </w:numPr>
        <w:spacing w:after="0" w:line="240" w:lineRule="auto"/>
        <w:ind w:left="2340" w:right="-403"/>
        <w:rPr>
          <w:rFonts w:ascii="Arial" w:hAnsi="Arial" w:cs="Arial"/>
        </w:rPr>
      </w:pPr>
      <w:r w:rsidRPr="00AF5444">
        <w:rPr>
          <w:rFonts w:ascii="Arial" w:hAnsi="Arial" w:cs="Arial"/>
        </w:rPr>
        <w:t>Program Income</w:t>
      </w:r>
    </w:p>
    <w:p w14:paraId="015A7094" w14:textId="77777777" w:rsidR="00CB19DE" w:rsidRPr="00AF5444" w:rsidRDefault="00CB19DE" w:rsidP="00CB19DE">
      <w:pPr>
        <w:pStyle w:val="BodyText"/>
        <w:widowControl w:val="0"/>
        <w:numPr>
          <w:ilvl w:val="0"/>
          <w:numId w:val="9"/>
        </w:numPr>
        <w:spacing w:after="0" w:line="240" w:lineRule="auto"/>
        <w:ind w:left="2340" w:right="-403"/>
        <w:rPr>
          <w:rFonts w:ascii="Arial" w:hAnsi="Arial" w:cs="Arial"/>
        </w:rPr>
      </w:pPr>
      <w:r w:rsidRPr="00AF5444">
        <w:rPr>
          <w:rFonts w:ascii="Arial" w:hAnsi="Arial" w:cs="Arial"/>
        </w:rPr>
        <w:t>Reporting</w:t>
      </w:r>
    </w:p>
    <w:p w14:paraId="059D97B0" w14:textId="77777777" w:rsidR="00CB19DE" w:rsidRPr="00AF5444" w:rsidRDefault="00CB19DE" w:rsidP="00CB19DE">
      <w:pPr>
        <w:pStyle w:val="BodyText"/>
        <w:widowControl w:val="0"/>
        <w:numPr>
          <w:ilvl w:val="0"/>
          <w:numId w:val="9"/>
        </w:numPr>
        <w:spacing w:after="0" w:line="240" w:lineRule="auto"/>
        <w:ind w:left="2340" w:right="-403"/>
        <w:rPr>
          <w:rFonts w:ascii="Arial" w:hAnsi="Arial" w:cs="Arial"/>
        </w:rPr>
      </w:pPr>
      <w:r w:rsidRPr="00AF5444">
        <w:rPr>
          <w:rFonts w:ascii="Arial" w:hAnsi="Arial" w:cs="Arial"/>
        </w:rPr>
        <w:t>Subrecipient Monitoring</w:t>
      </w:r>
    </w:p>
    <w:p w14:paraId="09D0FE14" w14:textId="77777777" w:rsidR="00CB19DE" w:rsidRPr="00AF5444" w:rsidRDefault="00CB19DE" w:rsidP="00CB19DE">
      <w:pPr>
        <w:pStyle w:val="BodyText"/>
        <w:widowControl w:val="0"/>
        <w:numPr>
          <w:ilvl w:val="0"/>
          <w:numId w:val="9"/>
        </w:numPr>
        <w:spacing w:line="240" w:lineRule="auto"/>
        <w:ind w:left="2340" w:right="-403"/>
        <w:rPr>
          <w:rFonts w:ascii="Arial" w:hAnsi="Arial" w:cs="Arial"/>
        </w:rPr>
      </w:pPr>
      <w:r w:rsidRPr="00AF5444">
        <w:rPr>
          <w:rFonts w:ascii="Arial" w:hAnsi="Arial" w:cs="Arial"/>
        </w:rPr>
        <w:lastRenderedPageBreak/>
        <w:t>Special Tests and Provisions</w:t>
      </w:r>
    </w:p>
    <w:p w14:paraId="31AFFAA6" w14:textId="77777777" w:rsidR="00CB19DE" w:rsidRPr="00D2510F" w:rsidRDefault="00CB19DE" w:rsidP="00CB19DE">
      <w:pPr>
        <w:pStyle w:val="BodyText"/>
        <w:numPr>
          <w:ilvl w:val="0"/>
          <w:numId w:val="17"/>
        </w:numPr>
        <w:spacing w:line="240" w:lineRule="auto"/>
        <w:ind w:left="1980" w:right="-396"/>
        <w:rPr>
          <w:rFonts w:ascii="Arial" w:hAnsi="Arial" w:cs="Arial"/>
        </w:rPr>
      </w:pPr>
      <w:r w:rsidRPr="00D2510F">
        <w:rPr>
          <w:rFonts w:ascii="Arial" w:hAnsi="Arial" w:cs="Arial"/>
        </w:rPr>
        <w:t xml:space="preserve">Acknowledgement of compliance or non-compliance with the Conflict of Interest policy (non-profit entities only), </w:t>
      </w:r>
    </w:p>
    <w:p w14:paraId="472F8169" w14:textId="77777777" w:rsidR="00CB19DE" w:rsidRPr="00D2510F" w:rsidRDefault="00CB19DE" w:rsidP="00CB19DE">
      <w:pPr>
        <w:pStyle w:val="BodyText"/>
        <w:numPr>
          <w:ilvl w:val="0"/>
          <w:numId w:val="17"/>
        </w:numPr>
        <w:spacing w:line="240" w:lineRule="auto"/>
        <w:ind w:left="1980" w:right="-396"/>
        <w:rPr>
          <w:rFonts w:ascii="Arial" w:hAnsi="Arial" w:cs="Arial"/>
        </w:rPr>
      </w:pPr>
      <w:r w:rsidRPr="00D2510F">
        <w:rPr>
          <w:rFonts w:ascii="Arial" w:hAnsi="Arial" w:cs="Arial"/>
        </w:rPr>
        <w:t xml:space="preserve">A description of relevant findings and areas of non-compliance with recommended corrective action,  </w:t>
      </w:r>
    </w:p>
    <w:p w14:paraId="048473A9" w14:textId="77777777" w:rsidR="00CB19DE" w:rsidRPr="00D2510F" w:rsidRDefault="00CB19DE" w:rsidP="00CB19DE">
      <w:pPr>
        <w:pStyle w:val="BodyText"/>
        <w:numPr>
          <w:ilvl w:val="0"/>
          <w:numId w:val="17"/>
        </w:numPr>
        <w:spacing w:line="240" w:lineRule="auto"/>
        <w:ind w:left="1980" w:right="-396"/>
        <w:rPr>
          <w:rFonts w:ascii="Arial" w:hAnsi="Arial" w:cs="Arial"/>
        </w:rPr>
      </w:pPr>
      <w:r w:rsidRPr="00D2510F">
        <w:rPr>
          <w:rFonts w:ascii="Arial" w:hAnsi="Arial" w:cs="Arial"/>
        </w:rPr>
        <w:t xml:space="preserve">Any suggestions for improvement and/or technical assistance, </w:t>
      </w:r>
    </w:p>
    <w:p w14:paraId="6855DE0D" w14:textId="77777777" w:rsidR="00CB19DE" w:rsidRPr="00D2510F" w:rsidRDefault="00CB19DE" w:rsidP="00CB19DE">
      <w:pPr>
        <w:pStyle w:val="BodyText"/>
        <w:numPr>
          <w:ilvl w:val="0"/>
          <w:numId w:val="17"/>
        </w:numPr>
        <w:spacing w:line="240" w:lineRule="auto"/>
        <w:ind w:left="1980" w:right="-396"/>
        <w:rPr>
          <w:rFonts w:ascii="Arial" w:hAnsi="Arial" w:cs="Arial"/>
        </w:rPr>
      </w:pPr>
      <w:r w:rsidRPr="00D2510F">
        <w:rPr>
          <w:rFonts w:ascii="Arial" w:hAnsi="Arial" w:cs="Arial"/>
        </w:rPr>
        <w:t>If applicable, the method used to monitor subcontractors and the results of this monitoring (see Section 308.2 G).</w:t>
      </w:r>
    </w:p>
    <w:p w14:paraId="413499C0" w14:textId="77777777" w:rsidR="00CB19DE" w:rsidRPr="00D2510F" w:rsidRDefault="00CB19DE" w:rsidP="00CB19DE">
      <w:pPr>
        <w:pStyle w:val="BodyText"/>
        <w:numPr>
          <w:ilvl w:val="0"/>
          <w:numId w:val="17"/>
        </w:numPr>
        <w:spacing w:after="240" w:line="240" w:lineRule="auto"/>
        <w:ind w:left="1980" w:right="-396"/>
        <w:rPr>
          <w:rFonts w:ascii="Arial" w:hAnsi="Arial" w:cs="Arial"/>
        </w:rPr>
      </w:pPr>
      <w:r w:rsidRPr="00D2510F">
        <w:rPr>
          <w:rFonts w:ascii="Arial" w:hAnsi="Arial" w:cs="Arial"/>
        </w:rPr>
        <w:t>The date a written corrective action is to be received by the AAA (normally within 30</w:t>
      </w:r>
      <w:r w:rsidRPr="00FB198C">
        <w:rPr>
          <w:rFonts w:ascii="Arial" w:hAnsi="Arial" w:cs="Arial"/>
          <w:color w:val="FF0000"/>
        </w:rPr>
        <w:t xml:space="preserve"> </w:t>
      </w:r>
      <w:r w:rsidRPr="00AF5444">
        <w:rPr>
          <w:rFonts w:ascii="Arial" w:hAnsi="Arial" w:cs="Arial"/>
        </w:rPr>
        <w:t xml:space="preserve">business </w:t>
      </w:r>
      <w:r w:rsidRPr="00D2510F">
        <w:rPr>
          <w:rFonts w:ascii="Arial" w:hAnsi="Arial" w:cs="Arial"/>
        </w:rPr>
        <w:t>days of the issuance of the monitoring report).  If no non-compliance is cited, the monitoring is closed with no further response necessary by the community service provider.</w:t>
      </w:r>
    </w:p>
    <w:p w14:paraId="19FB2C59" w14:textId="77777777" w:rsidR="00CB19DE" w:rsidRPr="00D2510F" w:rsidRDefault="00CB19DE" w:rsidP="00CB19DE">
      <w:pPr>
        <w:pStyle w:val="Header"/>
        <w:numPr>
          <w:ilvl w:val="1"/>
          <w:numId w:val="0"/>
        </w:numPr>
        <w:spacing w:after="120"/>
        <w:ind w:left="900" w:hanging="900"/>
        <w:rPr>
          <w:rFonts w:ascii="Arial" w:hAnsi="Arial" w:cs="Arial"/>
          <w:b/>
          <w:i/>
          <w:sz w:val="22"/>
          <w:szCs w:val="22"/>
        </w:rPr>
      </w:pPr>
      <w:r w:rsidRPr="00D2510F">
        <w:rPr>
          <w:rFonts w:ascii="Arial" w:hAnsi="Arial" w:cs="Arial"/>
          <w:b/>
          <w:i/>
          <w:sz w:val="22"/>
          <w:szCs w:val="22"/>
        </w:rPr>
        <w:t xml:space="preserve">308.5: </w:t>
      </w:r>
      <w:r w:rsidRPr="00D2510F">
        <w:rPr>
          <w:rFonts w:ascii="Arial" w:hAnsi="Arial" w:cs="Arial"/>
          <w:b/>
          <w:i/>
          <w:sz w:val="22"/>
          <w:szCs w:val="22"/>
        </w:rPr>
        <w:tab/>
        <w:t>Corrective Action Plan</w:t>
      </w:r>
    </w:p>
    <w:p w14:paraId="53E124C1" w14:textId="77777777" w:rsidR="00CB19DE" w:rsidRPr="00D2510F" w:rsidRDefault="00CB19DE" w:rsidP="00CB19DE">
      <w:pPr>
        <w:pStyle w:val="Header"/>
        <w:numPr>
          <w:ilvl w:val="0"/>
          <w:numId w:val="5"/>
        </w:numPr>
        <w:tabs>
          <w:tab w:val="clear" w:pos="360"/>
          <w:tab w:val="clear" w:pos="4680"/>
          <w:tab w:val="clear" w:pos="9360"/>
        </w:tabs>
        <w:spacing w:after="120"/>
        <w:ind w:left="1260"/>
        <w:rPr>
          <w:rFonts w:ascii="Arial" w:hAnsi="Arial" w:cs="Arial"/>
          <w:sz w:val="22"/>
          <w:szCs w:val="22"/>
        </w:rPr>
      </w:pPr>
      <w:r w:rsidRPr="00D2510F">
        <w:rPr>
          <w:rFonts w:ascii="Arial" w:hAnsi="Arial" w:cs="Arial"/>
          <w:sz w:val="22"/>
          <w:szCs w:val="22"/>
        </w:rPr>
        <w:t>The Area Agency on Aging will develop written procedures describing the process requiring local service providers to submit a written Corrective Action Plan when finding(s) of non-compliance are made.  The procedure developed will address the following, at a minimum:</w:t>
      </w:r>
    </w:p>
    <w:p w14:paraId="7F4BD275" w14:textId="77777777" w:rsidR="00CB19DE" w:rsidRPr="00D2510F" w:rsidRDefault="00CB19DE" w:rsidP="00CB19DE">
      <w:pPr>
        <w:pStyle w:val="Header"/>
        <w:numPr>
          <w:ilvl w:val="0"/>
          <w:numId w:val="6"/>
        </w:numPr>
        <w:tabs>
          <w:tab w:val="clear" w:pos="360"/>
          <w:tab w:val="clear" w:pos="4680"/>
          <w:tab w:val="clear" w:pos="9360"/>
        </w:tabs>
        <w:spacing w:after="120"/>
        <w:ind w:left="1620"/>
        <w:rPr>
          <w:rFonts w:ascii="Arial" w:hAnsi="Arial" w:cs="Arial"/>
          <w:sz w:val="22"/>
          <w:szCs w:val="22"/>
        </w:rPr>
      </w:pPr>
      <w:r w:rsidRPr="00D2510F">
        <w:rPr>
          <w:rFonts w:ascii="Arial" w:hAnsi="Arial" w:cs="Arial"/>
          <w:sz w:val="22"/>
          <w:szCs w:val="22"/>
        </w:rPr>
        <w:t>Circumstances requiring a corrective action plan.</w:t>
      </w:r>
    </w:p>
    <w:p w14:paraId="1AD5C43F" w14:textId="77777777" w:rsidR="00CB19DE" w:rsidRPr="00D2510F" w:rsidRDefault="00CB19DE" w:rsidP="00CB19DE">
      <w:pPr>
        <w:pStyle w:val="Header"/>
        <w:numPr>
          <w:ilvl w:val="0"/>
          <w:numId w:val="6"/>
        </w:numPr>
        <w:tabs>
          <w:tab w:val="clear" w:pos="360"/>
          <w:tab w:val="clear" w:pos="4680"/>
          <w:tab w:val="clear" w:pos="9360"/>
        </w:tabs>
        <w:spacing w:after="120"/>
        <w:ind w:left="1620"/>
        <w:rPr>
          <w:rFonts w:ascii="Arial" w:hAnsi="Arial" w:cs="Arial"/>
          <w:sz w:val="22"/>
          <w:szCs w:val="22"/>
        </w:rPr>
      </w:pPr>
      <w:r w:rsidRPr="00D2510F">
        <w:rPr>
          <w:rFonts w:ascii="Arial" w:hAnsi="Arial" w:cs="Arial"/>
          <w:sz w:val="22"/>
          <w:szCs w:val="22"/>
        </w:rPr>
        <w:t>Process for advising a community service provider that there is a need for a corrective action plan.</w:t>
      </w:r>
    </w:p>
    <w:p w14:paraId="15D6748A" w14:textId="77777777" w:rsidR="00CB19DE" w:rsidRPr="00D2510F" w:rsidRDefault="00CB19DE" w:rsidP="00CB19DE">
      <w:pPr>
        <w:pStyle w:val="Header"/>
        <w:numPr>
          <w:ilvl w:val="0"/>
          <w:numId w:val="7"/>
        </w:numPr>
        <w:tabs>
          <w:tab w:val="clear" w:pos="360"/>
          <w:tab w:val="clear" w:pos="4680"/>
          <w:tab w:val="clear" w:pos="9360"/>
        </w:tabs>
        <w:spacing w:after="120"/>
        <w:ind w:left="1620"/>
        <w:rPr>
          <w:rFonts w:ascii="Arial" w:hAnsi="Arial" w:cs="Arial"/>
          <w:sz w:val="22"/>
          <w:szCs w:val="22"/>
        </w:rPr>
      </w:pPr>
      <w:r w:rsidRPr="00D2510F">
        <w:rPr>
          <w:rFonts w:ascii="Arial" w:hAnsi="Arial" w:cs="Arial"/>
          <w:sz w:val="22"/>
          <w:szCs w:val="22"/>
        </w:rPr>
        <w:t>Maximum time frames for a community service provider to submit a plan to the Area Agency on Aging.</w:t>
      </w:r>
    </w:p>
    <w:p w14:paraId="5F4188D4" w14:textId="77777777" w:rsidR="00CB19DE" w:rsidRPr="00D2510F" w:rsidRDefault="00CB19DE" w:rsidP="00CB19DE">
      <w:pPr>
        <w:pStyle w:val="Header"/>
        <w:numPr>
          <w:ilvl w:val="0"/>
          <w:numId w:val="7"/>
        </w:numPr>
        <w:tabs>
          <w:tab w:val="clear" w:pos="360"/>
          <w:tab w:val="clear" w:pos="4680"/>
          <w:tab w:val="clear" w:pos="9360"/>
        </w:tabs>
        <w:spacing w:after="120"/>
        <w:ind w:left="1620"/>
        <w:rPr>
          <w:rFonts w:ascii="Arial" w:hAnsi="Arial" w:cs="Arial"/>
          <w:sz w:val="22"/>
          <w:szCs w:val="22"/>
        </w:rPr>
      </w:pPr>
      <w:r w:rsidRPr="00D2510F">
        <w:rPr>
          <w:rFonts w:ascii="Arial" w:hAnsi="Arial" w:cs="Arial"/>
          <w:sz w:val="22"/>
          <w:szCs w:val="22"/>
        </w:rPr>
        <w:t>Follow-up action by the Area Agency on Aging once a corrective action plan is received.</w:t>
      </w:r>
    </w:p>
    <w:p w14:paraId="702B1DC8" w14:textId="77777777" w:rsidR="00CB19DE" w:rsidRPr="00D2510F" w:rsidRDefault="00CB19DE" w:rsidP="00CB19DE">
      <w:pPr>
        <w:pStyle w:val="Header"/>
        <w:numPr>
          <w:ilvl w:val="0"/>
          <w:numId w:val="5"/>
        </w:numPr>
        <w:tabs>
          <w:tab w:val="clear" w:pos="360"/>
          <w:tab w:val="clear" w:pos="4680"/>
          <w:tab w:val="clear" w:pos="9360"/>
        </w:tabs>
        <w:spacing w:after="240"/>
        <w:ind w:left="1260"/>
        <w:rPr>
          <w:rFonts w:ascii="Arial" w:hAnsi="Arial" w:cs="Arial"/>
          <w:sz w:val="22"/>
          <w:szCs w:val="22"/>
        </w:rPr>
      </w:pPr>
      <w:r w:rsidRPr="00D2510F">
        <w:rPr>
          <w:rFonts w:ascii="Arial" w:hAnsi="Arial" w:cs="Arial"/>
          <w:sz w:val="22"/>
          <w:szCs w:val="22"/>
        </w:rPr>
        <w:t>Unless otherwise specified in the monitoring report, a written Corrective Action Plan is due to the Area Agency on Aging within 30</w:t>
      </w:r>
      <w:r>
        <w:rPr>
          <w:rFonts w:ascii="Arial" w:hAnsi="Arial" w:cs="Arial"/>
          <w:sz w:val="22"/>
          <w:szCs w:val="22"/>
        </w:rPr>
        <w:t xml:space="preserve"> </w:t>
      </w:r>
      <w:r w:rsidRPr="00AF5444">
        <w:rPr>
          <w:rFonts w:ascii="Arial" w:hAnsi="Arial" w:cs="Arial"/>
          <w:sz w:val="22"/>
          <w:szCs w:val="22"/>
        </w:rPr>
        <w:t>business</w:t>
      </w:r>
      <w:r w:rsidRPr="001A22BD">
        <w:rPr>
          <w:rFonts w:ascii="Arial" w:hAnsi="Arial" w:cs="Arial"/>
          <w:sz w:val="22"/>
          <w:szCs w:val="22"/>
        </w:rPr>
        <w:t xml:space="preserve"> </w:t>
      </w:r>
      <w:r w:rsidRPr="00D2510F">
        <w:rPr>
          <w:rFonts w:ascii="Arial" w:hAnsi="Arial" w:cs="Arial"/>
          <w:sz w:val="22"/>
          <w:szCs w:val="22"/>
        </w:rPr>
        <w:t>days of receipt of the report.</w:t>
      </w:r>
    </w:p>
    <w:p w14:paraId="412269A8" w14:textId="77777777" w:rsidR="00CB19DE" w:rsidRPr="00D2510F" w:rsidRDefault="00CB19DE" w:rsidP="00CB19DE">
      <w:pPr>
        <w:pStyle w:val="Header"/>
        <w:numPr>
          <w:ilvl w:val="1"/>
          <w:numId w:val="0"/>
        </w:numPr>
        <w:spacing w:after="120"/>
        <w:ind w:left="900" w:hanging="900"/>
        <w:rPr>
          <w:rFonts w:ascii="Arial" w:hAnsi="Arial" w:cs="Arial"/>
          <w:b/>
          <w:i/>
          <w:sz w:val="22"/>
          <w:szCs w:val="22"/>
        </w:rPr>
      </w:pPr>
      <w:r w:rsidRPr="00D2510F">
        <w:rPr>
          <w:rFonts w:ascii="Arial" w:hAnsi="Arial" w:cs="Arial"/>
          <w:b/>
          <w:i/>
          <w:sz w:val="22"/>
          <w:szCs w:val="22"/>
        </w:rPr>
        <w:t xml:space="preserve">308.6: </w:t>
      </w:r>
      <w:r w:rsidRPr="00D2510F">
        <w:rPr>
          <w:rFonts w:ascii="Arial" w:hAnsi="Arial" w:cs="Arial"/>
          <w:b/>
          <w:i/>
          <w:sz w:val="22"/>
          <w:szCs w:val="22"/>
        </w:rPr>
        <w:tab/>
        <w:t>Follow-Up</w:t>
      </w:r>
    </w:p>
    <w:p w14:paraId="603C305D" w14:textId="77777777" w:rsidR="00CB19DE" w:rsidRPr="00D2510F" w:rsidRDefault="00CB19DE" w:rsidP="00CB19DE">
      <w:pPr>
        <w:pStyle w:val="Header"/>
        <w:spacing w:after="120"/>
        <w:ind w:left="900"/>
        <w:rPr>
          <w:rFonts w:ascii="Arial" w:hAnsi="Arial" w:cs="Arial"/>
          <w:sz w:val="22"/>
          <w:szCs w:val="22"/>
        </w:rPr>
      </w:pPr>
      <w:r w:rsidRPr="00D2510F">
        <w:rPr>
          <w:rFonts w:ascii="Arial" w:hAnsi="Arial" w:cs="Arial"/>
          <w:sz w:val="22"/>
          <w:szCs w:val="22"/>
        </w:rPr>
        <w:t>The Area Agency on Aging will develop written procedures describing the follow-up action taken to determine that a corrective action plan has addressed issues of non-compliance.  The procedure developed will, at a minimum, address the following:</w:t>
      </w:r>
    </w:p>
    <w:p w14:paraId="001853EE" w14:textId="77777777" w:rsidR="00CB19DE" w:rsidRPr="00D2510F" w:rsidRDefault="00CB19DE" w:rsidP="00CB19DE">
      <w:pPr>
        <w:numPr>
          <w:ilvl w:val="0"/>
          <w:numId w:val="8"/>
        </w:numPr>
        <w:tabs>
          <w:tab w:val="clear" w:pos="360"/>
        </w:tabs>
        <w:spacing w:after="120"/>
        <w:ind w:left="1440" w:hanging="540"/>
        <w:rPr>
          <w:rFonts w:cs="Arial"/>
          <w:sz w:val="22"/>
          <w:szCs w:val="22"/>
        </w:rPr>
      </w:pPr>
      <w:r w:rsidRPr="00D2510F">
        <w:rPr>
          <w:rFonts w:cs="Arial"/>
          <w:sz w:val="22"/>
          <w:szCs w:val="22"/>
        </w:rPr>
        <w:t>Describe the circumstances requiring a follow-up.</w:t>
      </w:r>
    </w:p>
    <w:p w14:paraId="40587367" w14:textId="77777777" w:rsidR="00CB19DE" w:rsidRPr="00D2510F" w:rsidRDefault="00CB19DE" w:rsidP="00CB19DE">
      <w:pPr>
        <w:numPr>
          <w:ilvl w:val="0"/>
          <w:numId w:val="8"/>
        </w:numPr>
        <w:tabs>
          <w:tab w:val="clear" w:pos="360"/>
        </w:tabs>
        <w:spacing w:after="120"/>
        <w:ind w:left="1440" w:hanging="540"/>
        <w:rPr>
          <w:rFonts w:cs="Arial"/>
          <w:sz w:val="22"/>
          <w:szCs w:val="22"/>
        </w:rPr>
      </w:pPr>
      <w:r w:rsidRPr="00AF5444">
        <w:rPr>
          <w:rFonts w:cs="Arial"/>
          <w:sz w:val="22"/>
          <w:szCs w:val="22"/>
        </w:rPr>
        <w:t xml:space="preserve">If follow-up is other than an on-site visit, </w:t>
      </w:r>
      <w:r w:rsidRPr="001A22BD">
        <w:rPr>
          <w:rFonts w:cs="Arial"/>
          <w:sz w:val="22"/>
          <w:szCs w:val="22"/>
        </w:rPr>
        <w:t xml:space="preserve">describe </w:t>
      </w:r>
      <w:r w:rsidRPr="00D2510F">
        <w:rPr>
          <w:rFonts w:cs="Arial"/>
          <w:sz w:val="22"/>
          <w:szCs w:val="22"/>
        </w:rPr>
        <w:t xml:space="preserve">the process and under what </w:t>
      </w:r>
      <w:r>
        <w:rPr>
          <w:rFonts w:cs="Arial"/>
          <w:sz w:val="22"/>
          <w:szCs w:val="22"/>
        </w:rPr>
        <w:t xml:space="preserve">special </w:t>
      </w:r>
      <w:r w:rsidRPr="00D2510F">
        <w:rPr>
          <w:rFonts w:cs="Arial"/>
          <w:sz w:val="22"/>
          <w:szCs w:val="22"/>
        </w:rPr>
        <w:t>circumstances would this occur.</w:t>
      </w:r>
    </w:p>
    <w:p w14:paraId="1C501B20" w14:textId="77777777" w:rsidR="00CB19DE" w:rsidRPr="00D2510F" w:rsidRDefault="00CB19DE" w:rsidP="00CB19DE">
      <w:pPr>
        <w:numPr>
          <w:ilvl w:val="0"/>
          <w:numId w:val="8"/>
        </w:numPr>
        <w:tabs>
          <w:tab w:val="clear" w:pos="360"/>
        </w:tabs>
        <w:spacing w:after="120"/>
        <w:ind w:left="1440" w:hanging="540"/>
        <w:rPr>
          <w:rFonts w:cs="Arial"/>
          <w:sz w:val="22"/>
          <w:szCs w:val="22"/>
        </w:rPr>
      </w:pPr>
      <w:r w:rsidRPr="00D2510F">
        <w:rPr>
          <w:rFonts w:cs="Arial"/>
          <w:sz w:val="22"/>
          <w:szCs w:val="22"/>
        </w:rPr>
        <w:t>Describe the process used to communicate findings back to the community service provider.</w:t>
      </w:r>
    </w:p>
    <w:p w14:paraId="482D6088" w14:textId="77777777" w:rsidR="00CB19DE" w:rsidRPr="00D2510F" w:rsidRDefault="00CB19DE" w:rsidP="00CB19DE">
      <w:pPr>
        <w:numPr>
          <w:ilvl w:val="0"/>
          <w:numId w:val="8"/>
        </w:numPr>
        <w:tabs>
          <w:tab w:val="clear" w:pos="360"/>
        </w:tabs>
        <w:spacing w:after="120"/>
        <w:ind w:left="1440" w:hanging="540"/>
        <w:rPr>
          <w:rFonts w:cs="Arial"/>
          <w:sz w:val="22"/>
          <w:szCs w:val="22"/>
        </w:rPr>
      </w:pPr>
      <w:r w:rsidRPr="00D2510F">
        <w:rPr>
          <w:rFonts w:cs="Arial"/>
          <w:sz w:val="22"/>
          <w:szCs w:val="22"/>
        </w:rPr>
        <w:t>Time frames for the above activities.</w:t>
      </w:r>
    </w:p>
    <w:p w14:paraId="0FDD2D4E" w14:textId="77777777" w:rsidR="00CB19DE" w:rsidRPr="00D2510F" w:rsidRDefault="00CB19DE" w:rsidP="00CB19DE">
      <w:pPr>
        <w:ind w:left="900"/>
        <w:rPr>
          <w:rFonts w:cs="Arial"/>
          <w:sz w:val="22"/>
          <w:szCs w:val="22"/>
        </w:rPr>
      </w:pPr>
      <w:r w:rsidRPr="00D2510F">
        <w:rPr>
          <w:rFonts w:cs="Arial"/>
          <w:sz w:val="22"/>
          <w:szCs w:val="22"/>
        </w:rPr>
        <w:t xml:space="preserve">Follow-up visits must occur before the close of the state fiscal year (June 30). </w:t>
      </w:r>
    </w:p>
    <w:p w14:paraId="2C366753" w14:textId="77777777" w:rsidR="00CB19DE" w:rsidRDefault="00CB19DE" w:rsidP="00CB19DE">
      <w:pPr>
        <w:jc w:val="center"/>
      </w:pPr>
    </w:p>
    <w:sectPr w:rsidR="00CB19D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DC68E" w14:textId="77777777" w:rsidR="00CB19DE" w:rsidRDefault="00CB19DE" w:rsidP="00CB19DE">
      <w:r>
        <w:separator/>
      </w:r>
    </w:p>
  </w:endnote>
  <w:endnote w:type="continuationSeparator" w:id="0">
    <w:p w14:paraId="4DE0827B" w14:textId="77777777" w:rsidR="00CB19DE" w:rsidRDefault="00CB19DE" w:rsidP="00CB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CF82F" w14:textId="2EC145FF" w:rsidR="00CB19DE" w:rsidRPr="00CB19DE" w:rsidRDefault="00CB19DE" w:rsidP="00BE4063">
    <w:pPr>
      <w:pStyle w:val="Footer"/>
      <w:ind w:left="540" w:right="360"/>
      <w:rPr>
        <w:rFonts w:cs="Arial"/>
        <w:b/>
        <w:bCs/>
        <w:sz w:val="18"/>
        <w:szCs w:val="18"/>
      </w:rPr>
    </w:pPr>
    <w:r w:rsidRPr="00D2510F">
      <w:rPr>
        <w:rFonts w:cs="Arial"/>
        <w:b/>
        <w:bCs/>
        <w:sz w:val="18"/>
        <w:szCs w:val="18"/>
      </w:rPr>
      <w:t>Updated 3-</w:t>
    </w:r>
    <w:r>
      <w:rPr>
        <w:rFonts w:cs="Arial"/>
        <w:b/>
        <w:bCs/>
        <w:sz w:val="18"/>
        <w:szCs w:val="18"/>
      </w:rPr>
      <w:t>26</w:t>
    </w:r>
    <w:r w:rsidRPr="00D2510F">
      <w:rPr>
        <w:rFonts w:cs="Arial"/>
        <w:b/>
        <w:bCs/>
        <w:sz w:val="18"/>
        <w:szCs w:val="18"/>
      </w:rPr>
      <w:t>-202</w:t>
    </w:r>
    <w:r>
      <w:rPr>
        <w:rFonts w:cs="Arial"/>
        <w:b/>
        <w:bCs/>
        <w:sz w:val="18"/>
        <w:szCs w:val="18"/>
      </w:rPr>
      <w:t>1</w:t>
    </w:r>
    <w:r>
      <w:rPr>
        <w:rFonts w:cs="Arial"/>
        <w:b/>
        <w:bCs/>
        <w:sz w:val="18"/>
        <w:szCs w:val="18"/>
      </w:rPr>
      <w:tab/>
    </w:r>
    <w:r>
      <w:rPr>
        <w:rFonts w:cs="Arial"/>
        <w:b/>
        <w:bCs/>
        <w:sz w:val="18"/>
        <w:szCs w:val="18"/>
      </w:rPr>
      <w:tab/>
    </w:r>
    <w:sdt>
      <w:sdtPr>
        <w:id w:val="-681042349"/>
        <w:docPartObj>
          <w:docPartGallery w:val="Page Numbers (Bottom of Page)"/>
          <w:docPartUnique/>
        </w:docPartObj>
      </w:sdtPr>
      <w:sdtEndPr>
        <w:rPr>
          <w:noProof/>
          <w:sz w:val="18"/>
          <w:szCs w:val="22"/>
        </w:rPr>
      </w:sdtEndPr>
      <w:sdtContent>
        <w:r>
          <w:fldChar w:fldCharType="begin"/>
        </w:r>
        <w:r>
          <w:instrText xml:space="preserve"> PAGE   \* MERGEFORMAT </w:instrText>
        </w:r>
        <w:r>
          <w:fldChar w:fldCharType="separate"/>
        </w:r>
        <w:r>
          <w:rPr>
            <w:noProof/>
          </w:rPr>
          <w:t>2</w:t>
        </w:r>
        <w:r>
          <w:rPr>
            <w:noProof/>
          </w:rPr>
          <w:fldChar w:fldCharType="end"/>
        </w:r>
      </w:sdtContent>
    </w:sdt>
  </w:p>
  <w:p w14:paraId="4034BF71" w14:textId="6AA110C3" w:rsidR="00CB19DE" w:rsidRPr="00CB19DE" w:rsidRDefault="00CB19DE" w:rsidP="00CB19DE">
    <w:pPr>
      <w:pStyle w:val="Footer"/>
      <w:ind w:right="360"/>
      <w:rPr>
        <w:rFonts w:cs="Arial"/>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D780F" w14:textId="77777777" w:rsidR="00CB19DE" w:rsidRDefault="00CB19DE" w:rsidP="00CB19DE">
      <w:r>
        <w:separator/>
      </w:r>
    </w:p>
  </w:footnote>
  <w:footnote w:type="continuationSeparator" w:id="0">
    <w:p w14:paraId="761B8FB3" w14:textId="77777777" w:rsidR="00CB19DE" w:rsidRDefault="00CB19DE" w:rsidP="00CB1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A1F78"/>
    <w:multiLevelType w:val="singleLevel"/>
    <w:tmpl w:val="CA24692C"/>
    <w:lvl w:ilvl="0">
      <w:start w:val="3"/>
      <w:numFmt w:val="decimal"/>
      <w:lvlText w:val="%1."/>
      <w:lvlJc w:val="left"/>
      <w:pPr>
        <w:tabs>
          <w:tab w:val="num" w:pos="360"/>
        </w:tabs>
        <w:ind w:left="360" w:hanging="360"/>
      </w:pPr>
    </w:lvl>
  </w:abstractNum>
  <w:abstractNum w:abstractNumId="1" w15:restartNumberingAfterBreak="0">
    <w:nsid w:val="12602A0E"/>
    <w:multiLevelType w:val="hybridMultilevel"/>
    <w:tmpl w:val="24A05D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1706F"/>
    <w:multiLevelType w:val="singleLevel"/>
    <w:tmpl w:val="FFB43B4E"/>
    <w:lvl w:ilvl="0">
      <w:start w:val="1"/>
      <w:numFmt w:val="upperLetter"/>
      <w:lvlText w:val="%1."/>
      <w:lvlJc w:val="left"/>
      <w:pPr>
        <w:tabs>
          <w:tab w:val="num" w:pos="360"/>
        </w:tabs>
        <w:ind w:left="360" w:hanging="360"/>
      </w:pPr>
      <w:rPr>
        <w:rFonts w:ascii="Times New Roman" w:hAnsi="Times New Roman" w:hint="default"/>
      </w:rPr>
    </w:lvl>
  </w:abstractNum>
  <w:abstractNum w:abstractNumId="3" w15:restartNumberingAfterBreak="0">
    <w:nsid w:val="1F165046"/>
    <w:multiLevelType w:val="hybridMultilevel"/>
    <w:tmpl w:val="ED7430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DF77C8"/>
    <w:multiLevelType w:val="hybridMultilevel"/>
    <w:tmpl w:val="09B0F99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2FA801E4"/>
    <w:multiLevelType w:val="singleLevel"/>
    <w:tmpl w:val="AF2CDEFE"/>
    <w:lvl w:ilvl="0">
      <w:start w:val="1"/>
      <w:numFmt w:val="decimal"/>
      <w:lvlText w:val="%1."/>
      <w:lvlJc w:val="left"/>
      <w:pPr>
        <w:tabs>
          <w:tab w:val="num" w:pos="360"/>
        </w:tabs>
        <w:ind w:left="360" w:hanging="360"/>
      </w:pPr>
    </w:lvl>
  </w:abstractNum>
  <w:abstractNum w:abstractNumId="6" w15:restartNumberingAfterBreak="0">
    <w:nsid w:val="40FD603D"/>
    <w:multiLevelType w:val="singleLevel"/>
    <w:tmpl w:val="603E8EB0"/>
    <w:lvl w:ilvl="0">
      <w:start w:val="1"/>
      <w:numFmt w:val="decimal"/>
      <w:lvlText w:val="%1."/>
      <w:lvlJc w:val="left"/>
      <w:pPr>
        <w:tabs>
          <w:tab w:val="num" w:pos="360"/>
        </w:tabs>
        <w:ind w:left="360" w:hanging="360"/>
      </w:pPr>
    </w:lvl>
  </w:abstractNum>
  <w:abstractNum w:abstractNumId="7" w15:restartNumberingAfterBreak="0">
    <w:nsid w:val="43277143"/>
    <w:multiLevelType w:val="hybridMultilevel"/>
    <w:tmpl w:val="CF72E92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712679"/>
    <w:multiLevelType w:val="singleLevel"/>
    <w:tmpl w:val="3982AFDE"/>
    <w:lvl w:ilvl="0">
      <w:start w:val="1"/>
      <w:numFmt w:val="upperLetter"/>
      <w:lvlText w:val="%1."/>
      <w:lvlJc w:val="left"/>
      <w:pPr>
        <w:tabs>
          <w:tab w:val="num" w:pos="1080"/>
        </w:tabs>
        <w:ind w:left="1080" w:hanging="360"/>
      </w:pPr>
    </w:lvl>
  </w:abstractNum>
  <w:abstractNum w:abstractNumId="9" w15:restartNumberingAfterBreak="0">
    <w:nsid w:val="4E183ACD"/>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EB66C57"/>
    <w:multiLevelType w:val="singleLevel"/>
    <w:tmpl w:val="15665976"/>
    <w:lvl w:ilvl="0">
      <w:start w:val="1"/>
      <w:numFmt w:val="upperLetter"/>
      <w:lvlText w:val="%1."/>
      <w:lvlJc w:val="left"/>
      <w:pPr>
        <w:tabs>
          <w:tab w:val="num" w:pos="360"/>
        </w:tabs>
        <w:ind w:left="360" w:hanging="360"/>
      </w:pPr>
    </w:lvl>
  </w:abstractNum>
  <w:abstractNum w:abstractNumId="11" w15:restartNumberingAfterBreak="0">
    <w:nsid w:val="4EFA035D"/>
    <w:multiLevelType w:val="singleLevel"/>
    <w:tmpl w:val="671AD22C"/>
    <w:lvl w:ilvl="0">
      <w:start w:val="2"/>
      <w:numFmt w:val="decimal"/>
      <w:lvlText w:val="%1."/>
      <w:lvlJc w:val="left"/>
      <w:pPr>
        <w:tabs>
          <w:tab w:val="num" w:pos="360"/>
        </w:tabs>
        <w:ind w:left="360" w:hanging="360"/>
      </w:pPr>
    </w:lvl>
  </w:abstractNum>
  <w:abstractNum w:abstractNumId="12" w15:restartNumberingAfterBreak="0">
    <w:nsid w:val="56681710"/>
    <w:multiLevelType w:val="singleLevel"/>
    <w:tmpl w:val="E69A2742"/>
    <w:lvl w:ilvl="0">
      <w:start w:val="1"/>
      <w:numFmt w:val="decimal"/>
      <w:lvlText w:val="%1."/>
      <w:lvlJc w:val="left"/>
      <w:pPr>
        <w:tabs>
          <w:tab w:val="num" w:pos="2160"/>
        </w:tabs>
        <w:ind w:left="2160" w:hanging="360"/>
      </w:pPr>
      <w:rPr>
        <w:rFonts w:hint="default"/>
      </w:rPr>
    </w:lvl>
  </w:abstractNum>
  <w:abstractNum w:abstractNumId="13" w15:restartNumberingAfterBreak="0">
    <w:nsid w:val="58E87FF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8F33C7C"/>
    <w:multiLevelType w:val="hybridMultilevel"/>
    <w:tmpl w:val="202C86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990F94"/>
    <w:multiLevelType w:val="hybridMultilevel"/>
    <w:tmpl w:val="960487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CB4F1D"/>
    <w:multiLevelType w:val="hybridMultilevel"/>
    <w:tmpl w:val="1B9810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0"/>
  </w:num>
  <w:num w:numId="4">
    <w:abstractNumId w:val="11"/>
  </w:num>
  <w:num w:numId="5">
    <w:abstractNumId w:val="2"/>
  </w:num>
  <w:num w:numId="6">
    <w:abstractNumId w:val="6"/>
  </w:num>
  <w:num w:numId="7">
    <w:abstractNumId w:val="0"/>
  </w:num>
  <w:num w:numId="8">
    <w:abstractNumId w:val="5"/>
  </w:num>
  <w:num w:numId="9">
    <w:abstractNumId w:val="13"/>
  </w:num>
  <w:num w:numId="10">
    <w:abstractNumId w:val="12"/>
  </w:num>
  <w:num w:numId="11">
    <w:abstractNumId w:val="3"/>
  </w:num>
  <w:num w:numId="12">
    <w:abstractNumId w:val="7"/>
  </w:num>
  <w:num w:numId="13">
    <w:abstractNumId w:val="4"/>
  </w:num>
  <w:num w:numId="14">
    <w:abstractNumId w:val="15"/>
  </w:num>
  <w:num w:numId="15">
    <w:abstractNumId w:val="14"/>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DE"/>
    <w:rsid w:val="000870A9"/>
    <w:rsid w:val="005D254F"/>
    <w:rsid w:val="008011C2"/>
    <w:rsid w:val="00A3492E"/>
    <w:rsid w:val="00AB6E4F"/>
    <w:rsid w:val="00AE7C61"/>
    <w:rsid w:val="00B740C5"/>
    <w:rsid w:val="00BE341E"/>
    <w:rsid w:val="00BE4063"/>
    <w:rsid w:val="00CB1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189C0"/>
  <w15:chartTrackingRefBased/>
  <w15:docId w15:val="{47AE2AF1-4C1D-410B-B26E-17457730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0A9"/>
    <w:pPr>
      <w:spacing w:after="0" w:line="240" w:lineRule="auto"/>
    </w:pPr>
    <w:rPr>
      <w:rFonts w:ascii="Arial" w:hAnsi="Arial" w:cs="Times New Roman"/>
      <w:sz w:val="20"/>
      <w:szCs w:val="24"/>
    </w:rPr>
  </w:style>
  <w:style w:type="paragraph" w:styleId="Heading1">
    <w:name w:val="heading 1"/>
    <w:basedOn w:val="Normal"/>
    <w:next w:val="Normal"/>
    <w:link w:val="Heading1Char"/>
    <w:uiPriority w:val="9"/>
    <w:qFormat/>
    <w:rsid w:val="00CB19DE"/>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9DE"/>
    <w:rPr>
      <w:rFonts w:ascii="Calibri Light" w:eastAsia="Yu Gothic Light" w:hAnsi="Calibri Light" w:cs="Times New Roman"/>
      <w:color w:val="2F5496"/>
      <w:sz w:val="32"/>
      <w:szCs w:val="32"/>
    </w:rPr>
  </w:style>
  <w:style w:type="paragraph" w:styleId="Header">
    <w:name w:val="header"/>
    <w:basedOn w:val="Normal"/>
    <w:link w:val="HeaderChar"/>
    <w:unhideWhenUsed/>
    <w:rsid w:val="00CB19DE"/>
    <w:pPr>
      <w:tabs>
        <w:tab w:val="center" w:pos="4680"/>
        <w:tab w:val="right" w:pos="9360"/>
      </w:tabs>
    </w:pPr>
    <w:rPr>
      <w:rFonts w:ascii="Times New Roman" w:eastAsia="Times New Roman" w:hAnsi="Times New Roman"/>
      <w:sz w:val="24"/>
    </w:rPr>
  </w:style>
  <w:style w:type="character" w:customStyle="1" w:styleId="HeaderChar">
    <w:name w:val="Header Char"/>
    <w:basedOn w:val="DefaultParagraphFont"/>
    <w:link w:val="Header"/>
    <w:rsid w:val="00CB19DE"/>
    <w:rPr>
      <w:rFonts w:ascii="Times New Roman" w:eastAsia="Times New Roman" w:hAnsi="Times New Roman" w:cs="Times New Roman"/>
      <w:sz w:val="24"/>
      <w:szCs w:val="24"/>
    </w:rPr>
  </w:style>
  <w:style w:type="character" w:styleId="Hyperlink">
    <w:name w:val="Hyperlink"/>
    <w:rsid w:val="00CB19DE"/>
    <w:rPr>
      <w:color w:val="0000FF"/>
      <w:u w:val="single"/>
    </w:rPr>
  </w:style>
  <w:style w:type="paragraph" w:styleId="BodyText">
    <w:name w:val="Body Text"/>
    <w:basedOn w:val="Normal"/>
    <w:link w:val="BodyTextChar"/>
    <w:uiPriority w:val="99"/>
    <w:semiHidden/>
    <w:unhideWhenUsed/>
    <w:rsid w:val="00CB19DE"/>
    <w:pPr>
      <w:spacing w:after="120" w:line="252" w:lineRule="auto"/>
    </w:pPr>
    <w:rPr>
      <w:rFonts w:ascii="Times New Roman" w:eastAsiaTheme="minorHAnsi" w:hAnsi="Times New Roman" w:cs="Calibri"/>
      <w:sz w:val="22"/>
      <w:szCs w:val="22"/>
    </w:rPr>
  </w:style>
  <w:style w:type="character" w:customStyle="1" w:styleId="BodyTextChar">
    <w:name w:val="Body Text Char"/>
    <w:basedOn w:val="DefaultParagraphFont"/>
    <w:link w:val="BodyText"/>
    <w:uiPriority w:val="99"/>
    <w:semiHidden/>
    <w:rsid w:val="00CB19DE"/>
    <w:rPr>
      <w:rFonts w:ascii="Times New Roman" w:eastAsiaTheme="minorHAnsi" w:hAnsi="Times New Roman" w:cs="Calibri"/>
    </w:rPr>
  </w:style>
  <w:style w:type="paragraph" w:styleId="BlockText">
    <w:name w:val="Block Text"/>
    <w:basedOn w:val="Normal"/>
    <w:rsid w:val="00CB19DE"/>
    <w:pPr>
      <w:ind w:left="-720" w:right="-720"/>
    </w:pPr>
    <w:rPr>
      <w:rFonts w:eastAsia="Times New Roman"/>
      <w:sz w:val="24"/>
      <w:szCs w:val="20"/>
    </w:rPr>
  </w:style>
  <w:style w:type="paragraph" w:styleId="Footer">
    <w:name w:val="footer"/>
    <w:basedOn w:val="Normal"/>
    <w:link w:val="FooterChar"/>
    <w:unhideWhenUsed/>
    <w:rsid w:val="00CB19DE"/>
    <w:pPr>
      <w:tabs>
        <w:tab w:val="center" w:pos="4680"/>
        <w:tab w:val="right" w:pos="9360"/>
      </w:tabs>
    </w:pPr>
  </w:style>
  <w:style w:type="character" w:customStyle="1" w:styleId="FooterChar">
    <w:name w:val="Footer Char"/>
    <w:basedOn w:val="DefaultParagraphFont"/>
    <w:link w:val="Footer"/>
    <w:rsid w:val="00CB19DE"/>
    <w:rPr>
      <w:rFonts w:ascii="Arial" w:hAnsi="Arial" w:cs="Times New Roman"/>
      <w:sz w:val="20"/>
      <w:szCs w:val="24"/>
    </w:rPr>
  </w:style>
  <w:style w:type="paragraph" w:styleId="BalloonText">
    <w:name w:val="Balloon Text"/>
    <w:basedOn w:val="Normal"/>
    <w:link w:val="BalloonTextChar"/>
    <w:uiPriority w:val="99"/>
    <w:semiHidden/>
    <w:unhideWhenUsed/>
    <w:rsid w:val="00BE40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0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dhhs.gov/divisions/aging-and-adult-services/aging-resource-management-system-ar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dhhs.gov/divisions/daas/monitor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whitehouse.gov/omb/" TargetMode="External"/><Relationship Id="rId4" Type="http://schemas.openxmlformats.org/officeDocument/2006/relationships/webSettings" Target="webSettings.xml"/><Relationship Id="rId9" Type="http://schemas.openxmlformats.org/officeDocument/2006/relationships/hyperlink" Target="https://www.ncdhhs.gov/documents/daas-fiscal-monitoring-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2882</Words>
  <Characters>16434</Characters>
  <Application>Microsoft Office Word</Application>
  <DocSecurity>0</DocSecurity>
  <Lines>136</Lines>
  <Paragraphs>38</Paragraphs>
  <ScaleCrop>false</ScaleCrop>
  <Company/>
  <LinksUpToDate>false</LinksUpToDate>
  <CharactersWithSpaces>19278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Bridgeman, Phyllis</dc:creator>
  <cp:keywords/>
  <dc:description/>
  <cp:lastModifiedBy>Bridgeman, Phyllis</cp:lastModifiedBy>
  <cp:revision>4</cp:revision>
  <cp:lastPrinted>2021-06-23T14:39:00Z</cp:lastPrinted>
  <dcterms:created xsi:type="dcterms:W3CDTF">2021-06-23T14:28:00Z</dcterms:created>
  <dcterms:modified xsi:type="dcterms:W3CDTF">2021-06-23T14:42:00Z</dcterms:modified>
</cp:coreProperties>
</file>