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309A1" w14:textId="13AA19B2" w:rsidR="00576F8E" w:rsidRPr="004670BE" w:rsidRDefault="00603FAE" w:rsidP="005D0628">
      <w:pPr>
        <w:pStyle w:val="HeadingbeforeNumberedList"/>
        <w:rPr>
          <w:rFonts w:eastAsia="Times New Roman" w:cs="Times New Roman"/>
          <w:szCs w:val="20"/>
        </w:rPr>
      </w:pPr>
      <w:r w:rsidRPr="004670BE">
        <w:rPr>
          <w:noProof/>
          <w:lang w:bidi="es-US"/>
        </w:rPr>
        <mc:AlternateContent>
          <mc:Choice Requires="wps">
            <w:drawing>
              <wp:anchor distT="0" distB="0" distL="114300" distR="114300" simplePos="0" relativeHeight="251658240" behindDoc="0" locked="0" layoutInCell="1" allowOverlap="1" wp14:anchorId="6E1AEF92" wp14:editId="16F283AB">
                <wp:simplePos x="0" y="0"/>
                <wp:positionH relativeFrom="page">
                  <wp:posOffset>234950</wp:posOffset>
                </wp:positionH>
                <wp:positionV relativeFrom="page">
                  <wp:posOffset>1581150</wp:posOffset>
                </wp:positionV>
                <wp:extent cx="7313930" cy="1911350"/>
                <wp:effectExtent l="0" t="0" r="0" b="0"/>
                <wp:wrapSquare wrapText="bothSides"/>
                <wp:docPr id="4535837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1911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9137D3" w14:textId="64C2E0F4" w:rsidR="007A0C2B" w:rsidRPr="00821AAF" w:rsidRDefault="00000000" w:rsidP="00E801D6">
                            <w:pPr>
                              <w:pStyle w:val="Title"/>
                              <w:ind w:left="-270"/>
                              <w:rPr>
                                <w:b/>
                                <w:bCs/>
                                <w:lang w:val="es-ES"/>
                              </w:rPr>
                            </w:pPr>
                            <w:sdt>
                              <w:sdtPr>
                                <w:rPr>
                                  <w:rFonts w:asciiTheme="minorHAnsi" w:hAnsiTheme="minorHAnsi" w:cstheme="minorHAnsi"/>
                                  <w:b/>
                                  <w:lang w:val="es-ES" w:bidi="es-US"/>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524A08">
                                  <w:rPr>
                                    <w:rFonts w:asciiTheme="minorHAnsi" w:hAnsiTheme="minorHAnsi" w:cstheme="minorHAnsi"/>
                                    <w:b/>
                                    <w:lang w:val="es-ES" w:bidi="es-US"/>
                                  </w:rPr>
                                  <w:t>Implementación del Plan Olmstead de Carolina del Norte</w:t>
                                </w:r>
                              </w:sdtContent>
                            </w:sdt>
                          </w:p>
                          <w:sdt>
                            <w:sdtPr>
                              <w:rPr>
                                <w:color w:val="007EAA"/>
                                <w:lang w:bidi="es-US"/>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381763AF" w14:textId="5F980A9C" w:rsidR="007A0C2B" w:rsidRDefault="00524A08" w:rsidP="00E801D6">
                                <w:pPr>
                                  <w:pStyle w:val="Cover-Subtitle"/>
                                  <w:ind w:left="-270"/>
                                  <w:rPr>
                                    <w:smallCaps/>
                                  </w:rPr>
                                </w:pPr>
                                <w:r>
                                  <w:rPr>
                                    <w:color w:val="007EAA"/>
                                    <w:lang w:bidi="es-US"/>
                                  </w:rPr>
                                  <w:t>Informe resumido: del 1 de abril al 30 de junio de 2024</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6E1AEF92" id="_x0000_t202" coordsize="21600,21600" o:spt="202" path="m,l,21600r21600,l21600,xe">
                <v:stroke joinstyle="miter"/>
                <v:path gradientshapeok="t" o:connecttype="rect"/>
              </v:shapetype>
              <v:shape id="Text Box 1" o:spid="_x0000_s1026" type="#_x0000_t202" style="position:absolute;left:0;text-align:left;margin-left:18.5pt;margin-top:124.5pt;width:575.9pt;height:150.5pt;z-index:251658240;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" filled="f" stroked="f" strokeweight=".5pt">
                <v:textbox inset="126pt,0,54pt,0">
                  <w:txbxContent>
                    <w:p w14:paraId="229137D3" w14:textId="64C2E0F4" w:rsidR="007A0C2B" w:rsidRPr="00821AAF" w:rsidRDefault="00000000" w:rsidP="00E801D6">
                      <w:pPr>
                        <w:pStyle w:val="Title"/>
                        <w:ind w:left="-270"/>
                        <w:rPr>
                          <w:b/>
                          <w:bCs/>
                          <w:lang w:val="es-ES"/>
                        </w:rPr>
                      </w:pPr>
                      <w:sdt>
                        <w:sdtPr>
                          <w:rPr>
                            <w:rFonts w:asciiTheme="minorHAnsi" w:hAnsiTheme="minorHAnsi" w:cstheme="minorHAnsi"/>
                            <w:b/>
                            <w:lang w:val="es-ES" w:bidi="es-US"/>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524A08">
                            <w:rPr>
                              <w:rFonts w:asciiTheme="minorHAnsi" w:hAnsiTheme="minorHAnsi" w:cstheme="minorHAnsi"/>
                              <w:b/>
                              <w:lang w:val="es-ES" w:bidi="es-US"/>
                            </w:rPr>
                            <w:t>Implementación del Plan Olmstead de Carolina del Norte</w:t>
                          </w:r>
                        </w:sdtContent>
                      </w:sdt>
                    </w:p>
                    <w:sdt>
                      <w:sdtPr>
                        <w:rPr>
                          <w:color w:val="007EAA"/>
                          <w:lang w:bidi="es-US"/>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381763AF" w14:textId="5F980A9C" w:rsidR="007A0C2B" w:rsidRDefault="00524A08" w:rsidP="00E801D6">
                          <w:pPr>
                            <w:pStyle w:val="Cover-Subtitle"/>
                            <w:ind w:left="-270"/>
                            <w:rPr>
                              <w:smallCaps/>
                            </w:rPr>
                          </w:pPr>
                          <w:r>
                            <w:rPr>
                              <w:color w:val="007EAA"/>
                              <w:lang w:bidi="es-US"/>
                            </w:rPr>
                            <w:t>Informe resumido: del 1 de abril al 30 de junio de 2024</w:t>
                          </w:r>
                        </w:p>
                      </w:sdtContent>
                    </w:sdt>
                  </w:txbxContent>
                </v:textbox>
                <w10:wrap type="square" anchorx="page" anchory="page"/>
              </v:shape>
            </w:pict>
          </mc:Fallback>
        </mc:AlternateContent>
      </w:r>
    </w:p>
    <w:sdt>
      <w:sdtPr>
        <w:rPr>
          <w:rFonts w:asciiTheme="minorHAnsi" w:eastAsia="Times New Roman" w:hAnsiTheme="minorHAnsi" w:cs="Times New Roman"/>
          <w:spacing w:val="0"/>
          <w:sz w:val="22"/>
          <w:szCs w:val="20"/>
        </w:rPr>
        <w:id w:val="452529616"/>
        <w:docPartObj>
          <w:docPartGallery w:val="Cover Pages"/>
          <w:docPartUnique/>
        </w:docPartObj>
      </w:sdtPr>
      <w:sdtEndPr>
        <w:rPr>
          <w:rStyle w:val="TitleChar"/>
          <w:rFonts w:ascii="Arial Black" w:eastAsiaTheme="majorEastAsia" w:hAnsi="Arial Black" w:cstheme="minorHAnsi"/>
          <w:color w:val="041E41" w:themeColor="text2"/>
          <w:spacing w:val="-10"/>
          <w:kern w:val="28"/>
          <w:sz w:val="56"/>
          <w:szCs w:val="56"/>
        </w:rPr>
      </w:sdtEndPr>
      <w:sdtContent>
        <w:p w14:paraId="5385026D" w14:textId="30DF8A4C" w:rsidR="00E801D6" w:rsidRPr="004670BE" w:rsidRDefault="00E801D6" w:rsidP="00E2359E">
          <w:pPr>
            <w:pStyle w:val="Condensed-02pt"/>
          </w:pPr>
        </w:p>
        <w:p w14:paraId="42857894" w14:textId="7EA9BFF8" w:rsidR="00E801D6" w:rsidRPr="00821AAF" w:rsidRDefault="00000000" w:rsidP="00603E0E">
          <w:pPr>
            <w:pStyle w:val="Author"/>
            <w:rPr>
              <w:rFonts w:cstheme="minorHAnsi"/>
            </w:rPr>
          </w:pPr>
          <w:sdt>
            <w:sdtPr>
              <w:rPr>
                <w:rFonts w:ascii="Arial Black" w:eastAsiaTheme="majorEastAsia" w:hAnsi="Arial Black" w:cstheme="majorBidi"/>
                <w:color w:val="041E41" w:themeColor="text2"/>
                <w:spacing w:val="-2"/>
                <w:kern w:val="28"/>
                <w:sz w:val="24"/>
                <w:szCs w:val="56"/>
                <w:lang w:bidi="es-US"/>
              </w:rPr>
              <w:alias w:val="Author"/>
              <w:tag w:val=""/>
              <w:id w:val="2088105991"/>
              <w:dataBinding w:prefixMappings="xmlns:ns0='http://purl.org/dc/elements/1.1/' xmlns:ns1='http://schemas.openxmlformats.org/package/2006/metadata/core-properties' " w:xpath="/ns1:coreProperties[1]/ns0:creator[1]" w:storeItemID="{6C3C8BC8-F283-45AE-878A-BAB7291924A1}"/>
              <w:text/>
            </w:sdtPr>
            <w:sdtContent>
              <w:r w:rsidR="006B6532" w:rsidRPr="004670BE">
                <w:rPr>
                  <w:spacing w:val="-2"/>
                  <w:sz w:val="24"/>
                  <w:lang w:bidi="es-US"/>
                </w:rPr>
                <w:t>Rebecca Boss and Megan Lee, consultoras de Servicios Humanos</w:t>
              </w:r>
            </w:sdtContent>
          </w:sdt>
        </w:p>
      </w:sdtContent>
    </w:sdt>
    <w:p w14:paraId="4701FAEE" w14:textId="4DDCF07E" w:rsidR="00B77184" w:rsidRPr="00821AAF" w:rsidRDefault="007E0C62" w:rsidP="00603E0E">
      <w:pPr>
        <w:pStyle w:val="Author"/>
        <w:spacing w:after="2280"/>
        <w:rPr>
          <w:rFonts w:cstheme="minorHAnsi"/>
        </w:rPr>
        <w:sectPr w:rsidR="00B77184" w:rsidRPr="00821AAF" w:rsidSect="00E801D6">
          <w:headerReference w:type="even" r:id="rId12"/>
          <w:headerReference w:type="default" r:id="rId13"/>
          <w:footerReference w:type="even" r:id="rId14"/>
          <w:footerReference w:type="default" r:id="rId15"/>
          <w:headerReference w:type="first" r:id="rId16"/>
          <w:footerReference w:type="first" r:id="rId17"/>
          <w:pgSz w:w="12240" w:h="15840"/>
          <w:pgMar w:top="360" w:right="360" w:bottom="360" w:left="360" w:header="360" w:footer="0" w:gutter="0"/>
          <w:pgNumType w:start="0"/>
          <w:cols w:space="720"/>
          <w:titlePg/>
          <w:docGrid w:linePitch="360"/>
        </w:sectPr>
      </w:pPr>
      <w:r w:rsidRPr="00821AAF">
        <w:rPr>
          <w:rFonts w:cstheme="minorHAnsi"/>
          <w:lang w:bidi="es-US"/>
        </w:rPr>
        <w:br/>
      </w:r>
    </w:p>
    <w:p w14:paraId="4EDDAD8F" w14:textId="04391C34" w:rsidR="007E0C62" w:rsidRPr="004670BE" w:rsidRDefault="007E0C62" w:rsidP="00603E0E">
      <w:pPr>
        <w:spacing w:after="0"/>
        <w:rPr>
          <w:rFonts w:cstheme="minorHAnsi"/>
        </w:rPr>
      </w:pPr>
      <w:r w:rsidRPr="004670BE">
        <w:rPr>
          <w:rFonts w:cstheme="minorHAnsi"/>
          <w:noProof/>
          <w:lang w:bidi="es-US"/>
        </w:rPr>
        <w:drawing>
          <wp:inline distT="0" distB="0" distL="0" distR="0" wp14:anchorId="7130DA05" wp14:editId="1D65BA0F">
            <wp:extent cx="1307465" cy="844455"/>
            <wp:effectExtent l="0" t="0" r="0" b="0"/>
            <wp:docPr id="133" name="Picture 133" descr="Technical Assistance Collaborative, In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Technical Assistance Collaborative, Inc, Logo"/>
                    <pic:cNvPicPr/>
                  </pic:nvPicPr>
                  <pic:blipFill rotWithShape="1">
                    <a:blip r:embed="rId18" cstate="print">
                      <a:extLst>
                        <a:ext uri="{28A0092B-C50C-407E-A947-70E740481C1C}">
                          <a14:useLocalDpi xmlns:a14="http://schemas.microsoft.com/office/drawing/2010/main" val="0"/>
                        </a:ext>
                      </a:extLst>
                    </a:blip>
                    <a:srcRect t="6526" b="6449"/>
                    <a:stretch/>
                  </pic:blipFill>
                  <pic:spPr bwMode="auto">
                    <a:xfrm>
                      <a:off x="0" y="0"/>
                      <a:ext cx="1327528" cy="857413"/>
                    </a:xfrm>
                    <a:prstGeom prst="rect">
                      <a:avLst/>
                    </a:prstGeom>
                    <a:ln>
                      <a:noFill/>
                    </a:ln>
                    <a:extLst>
                      <a:ext uri="{53640926-AAD7-44D8-BBD7-CCE9431645EC}">
                        <a14:shadowObscured xmlns:a14="http://schemas.microsoft.com/office/drawing/2010/main"/>
                      </a:ext>
                    </a:extLst>
                  </pic:spPr>
                </pic:pic>
              </a:graphicData>
            </a:graphic>
          </wp:inline>
        </w:drawing>
      </w:r>
      <w:r w:rsidR="00B77184" w:rsidRPr="004670BE">
        <w:rPr>
          <w:rFonts w:cstheme="minorHAnsi"/>
          <w:lang w:bidi="es-US"/>
        </w:rPr>
        <w:t xml:space="preserve"> </w:t>
      </w:r>
    </w:p>
    <w:p w14:paraId="2A8DD07F" w14:textId="389864FC" w:rsidR="008408BE" w:rsidRPr="004670BE" w:rsidRDefault="005E638E" w:rsidP="008408BE">
      <w:pPr>
        <w:spacing w:before="180" w:after="0"/>
        <w:ind w:right="446"/>
        <w:rPr>
          <w:rStyle w:val="PublicationDate"/>
          <w:rFonts w:cstheme="minorHAnsi"/>
          <w:b/>
          <w:bCs/>
          <w:sz w:val="24"/>
        </w:rPr>
      </w:pPr>
      <w:r w:rsidRPr="004670BE">
        <w:rPr>
          <w:rStyle w:val="PublicationDate"/>
          <w:rFonts w:cstheme="minorHAnsi"/>
          <w:b/>
          <w:sz w:val="24"/>
          <w:lang w:bidi="es-US"/>
        </w:rPr>
        <w:t>Mayo de 2024</w:t>
      </w:r>
    </w:p>
    <w:p w14:paraId="6D3E64D2" w14:textId="22D30D5A" w:rsidR="00B77184" w:rsidRPr="004670BE" w:rsidRDefault="00B77184" w:rsidP="008408BE">
      <w:pPr>
        <w:spacing w:before="300" w:after="0"/>
        <w:ind w:right="446"/>
        <w:jc w:val="right"/>
        <w:rPr>
          <w:rFonts w:cstheme="minorHAnsi"/>
        </w:rPr>
        <w:sectPr w:rsidR="00B77184" w:rsidRPr="004670BE" w:rsidSect="00E801D6">
          <w:type w:val="continuous"/>
          <w:pgSz w:w="12240" w:h="15840"/>
          <w:pgMar w:top="360" w:right="360" w:bottom="806" w:left="360" w:header="360" w:footer="720" w:gutter="0"/>
          <w:cols w:num="3" w:space="187" w:equalWidth="0">
            <w:col w:w="1987" w:space="187"/>
            <w:col w:w="5832" w:space="187"/>
            <w:col w:w="3327"/>
          </w:cols>
          <w:titlePg/>
          <w:docGrid w:linePitch="360"/>
        </w:sectPr>
      </w:pPr>
    </w:p>
    <w:p w14:paraId="480441D0" w14:textId="68E31E0C" w:rsidR="00E56F7E" w:rsidRPr="004670BE" w:rsidRDefault="00875112" w:rsidP="007640BA">
      <w:pPr>
        <w:pStyle w:val="Heading1"/>
        <w:rPr>
          <w:rFonts w:asciiTheme="minorHAnsi" w:hAnsiTheme="minorHAnsi" w:cstheme="minorHAnsi"/>
        </w:rPr>
      </w:pPr>
      <w:r w:rsidRPr="004670BE">
        <w:rPr>
          <w:rFonts w:asciiTheme="minorHAnsi" w:hAnsiTheme="minorHAnsi" w:cstheme="minorHAnsi"/>
          <w:lang w:bidi="es-US"/>
        </w:rPr>
        <w:lastRenderedPageBreak/>
        <w:t>Trasfondo e introducción</w:t>
      </w:r>
    </w:p>
    <w:p w14:paraId="0EF0A180" w14:textId="188719BE" w:rsidR="005E638E" w:rsidRPr="004670BE" w:rsidRDefault="005E638E" w:rsidP="00BD57BF">
      <w:pPr>
        <w:jc w:val="both"/>
        <w:rPr>
          <w:rStyle w:val="Condensed-02ptChar"/>
          <w:rFonts w:asciiTheme="minorHAnsi" w:hAnsiTheme="minorHAnsi" w:cstheme="minorHAnsi"/>
        </w:rPr>
      </w:pPr>
      <w:r w:rsidRPr="004670BE">
        <w:rPr>
          <w:rStyle w:val="Condensed-02ptChar"/>
          <w:rFonts w:asciiTheme="minorHAnsi" w:hAnsiTheme="minorHAnsi" w:cstheme="minorHAnsi"/>
          <w:lang w:bidi="es-US"/>
        </w:rPr>
        <w:t xml:space="preserve">En el segundo trimestre del año calendario 2024, se llevó a cabo una importante transición en el diseño, la implementación y el monitoreo del Plan Olmstead de Carolina del Norte.  El Departamento de Salud y Servicios </w:t>
      </w:r>
      <w:r w:rsidR="00250CD7" w:rsidRPr="004670BE">
        <w:rPr>
          <w:rStyle w:val="Condensed-02ptChar"/>
          <w:rFonts w:asciiTheme="minorHAnsi" w:hAnsiTheme="minorHAnsi" w:cstheme="minorHAnsi"/>
          <w:lang w:bidi="es-US"/>
        </w:rPr>
        <w:t xml:space="preserve">Humanos </w:t>
      </w:r>
      <w:r w:rsidRPr="004670BE">
        <w:rPr>
          <w:rStyle w:val="Condensed-02ptChar"/>
          <w:rFonts w:asciiTheme="minorHAnsi" w:hAnsiTheme="minorHAnsi" w:cstheme="minorHAnsi"/>
          <w:lang w:bidi="es-US"/>
        </w:rPr>
        <w:t xml:space="preserve">de Carolina del Norte (North Carolina Department of Health and Human Services, NCDHHS), en colaboración con otras agencias estatales y sus socios comunitarios, dedicó mucho tiempo a la revisión del plan original para aprender de los éxitos y los retos, y así elaborar un plan actualizado para los próximos dos años.  El plan revisado redujo las once áreas prioritarias originales a seis y se centra en acciones y estrategias medibles sin perder de vista otras áreas de interés. </w:t>
      </w:r>
    </w:p>
    <w:p w14:paraId="3F75CCD7" w14:textId="11F33E21" w:rsidR="00FC0428" w:rsidRPr="004670BE" w:rsidRDefault="00110182" w:rsidP="00BD57BF">
      <w:pPr>
        <w:jc w:val="both"/>
        <w:rPr>
          <w:rStyle w:val="Condensed-02ptChar"/>
          <w:rFonts w:asciiTheme="minorHAnsi" w:hAnsiTheme="minorHAnsi" w:cstheme="minorHAnsi"/>
        </w:rPr>
      </w:pPr>
      <w:r w:rsidRPr="004670BE">
        <w:rPr>
          <w:rStyle w:val="Condensed-02ptChar"/>
          <w:rFonts w:asciiTheme="minorHAnsi" w:hAnsiTheme="minorHAnsi" w:cstheme="minorHAnsi"/>
          <w:lang w:bidi="es-US"/>
        </w:rPr>
        <w:t xml:space="preserve">Desde el 1 de abril hasta el 30 de junio de 2024, las entidades responsables de la implementación del Plan Olmstead de Carolina del Norte continuaron definiendo las acciones para las estrategias del nuevo plan e </w:t>
      </w:r>
      <w:r w:rsidR="00F67C59" w:rsidRPr="004670BE">
        <w:rPr>
          <w:rFonts w:cstheme="minorHAnsi"/>
          <w:spacing w:val="-4"/>
          <w:lang w:bidi="es-US"/>
        </w:rPr>
        <w:t xml:space="preserve">informaron del avance en las estrategias y las actividades de implementación.  Estas aportaciones </w:t>
      </w:r>
      <w:r w:rsidRPr="004670BE">
        <w:rPr>
          <w:rStyle w:val="Condensed-02ptChar"/>
          <w:rFonts w:asciiTheme="minorHAnsi" w:hAnsiTheme="minorHAnsi" w:cstheme="minorHAnsi"/>
          <w:lang w:bidi="es-US"/>
        </w:rPr>
        <w:t xml:space="preserve">son la base sobre la que se mide el progreso general hacia la implementación del Plan.  </w:t>
      </w:r>
      <w:r w:rsidRPr="004670BE">
        <w:rPr>
          <w:rFonts w:cstheme="minorHAnsi"/>
          <w:spacing w:val="-4"/>
          <w:lang w:bidi="es-US"/>
        </w:rPr>
        <w:t xml:space="preserve">Es importante señalar que este informe </w:t>
      </w:r>
      <w:r w:rsidRPr="004670BE">
        <w:rPr>
          <w:rStyle w:val="Condensed-02ptChar"/>
          <w:rFonts w:asciiTheme="minorHAnsi" w:hAnsiTheme="minorHAnsi" w:cstheme="minorHAnsi"/>
          <w:lang w:bidi="es-US"/>
        </w:rPr>
        <w:t xml:space="preserve">da cuenta de la </w:t>
      </w:r>
      <w:r w:rsidRPr="004670BE">
        <w:rPr>
          <w:rStyle w:val="Condensed-02ptChar"/>
          <w:rFonts w:asciiTheme="minorHAnsi" w:hAnsiTheme="minorHAnsi" w:cstheme="minorHAnsi"/>
          <w:i/>
          <w:lang w:bidi="es-US"/>
        </w:rPr>
        <w:t>actividad</w:t>
      </w:r>
      <w:r w:rsidRPr="004670BE">
        <w:rPr>
          <w:rStyle w:val="Condensed-02ptChar"/>
          <w:rFonts w:asciiTheme="minorHAnsi" w:hAnsiTheme="minorHAnsi" w:cstheme="minorHAnsi"/>
          <w:lang w:bidi="es-US"/>
        </w:rPr>
        <w:t xml:space="preserve"> durante el segundo trimestre de 2024, del 1 de abril al 30 de junio; y que es el primero bajo el </w:t>
      </w:r>
      <w:r w:rsidR="002807E3" w:rsidRPr="004670BE">
        <w:rPr>
          <w:rFonts w:cstheme="minorHAnsi"/>
          <w:spacing w:val="-4"/>
          <w:lang w:bidi="es-US"/>
        </w:rPr>
        <w:t xml:space="preserve">Plan Olmstead 2024-2025 que entró en </w:t>
      </w:r>
      <w:r w:rsidR="001917B7">
        <w:rPr>
          <w:rFonts w:cstheme="minorHAnsi"/>
          <w:spacing w:val="-4"/>
          <w:lang w:bidi="es-US"/>
        </w:rPr>
        <w:t>vigor</w:t>
      </w:r>
      <w:r w:rsidR="001917B7" w:rsidRPr="004670BE">
        <w:rPr>
          <w:rFonts w:cstheme="minorHAnsi"/>
          <w:spacing w:val="-4"/>
          <w:lang w:bidi="es-US"/>
        </w:rPr>
        <w:t xml:space="preserve"> </w:t>
      </w:r>
      <w:r w:rsidR="002807E3" w:rsidRPr="004670BE">
        <w:rPr>
          <w:rFonts w:cstheme="minorHAnsi"/>
          <w:spacing w:val="-4"/>
          <w:lang w:bidi="es-US"/>
        </w:rPr>
        <w:t xml:space="preserve">en abril de 2024.  </w:t>
      </w:r>
      <w:r w:rsidRPr="004670BE">
        <w:rPr>
          <w:rStyle w:val="Condensed-02ptChar"/>
          <w:rFonts w:asciiTheme="minorHAnsi" w:hAnsiTheme="minorHAnsi" w:cstheme="minorHAnsi"/>
          <w:lang w:bidi="es-US"/>
        </w:rPr>
        <w:t xml:space="preserve">Como ha venido ocurriendo a lo largo de la serie de actualizaciones trimestrales, los </w:t>
      </w:r>
      <w:r w:rsidRPr="004670BE">
        <w:rPr>
          <w:rStyle w:val="Condensed-02ptChar"/>
          <w:rFonts w:asciiTheme="minorHAnsi" w:hAnsiTheme="minorHAnsi" w:cstheme="minorHAnsi"/>
          <w:i/>
          <w:lang w:bidi="es-US"/>
        </w:rPr>
        <w:t>datos</w:t>
      </w:r>
      <w:r w:rsidRPr="004670BE">
        <w:rPr>
          <w:rStyle w:val="Condensed-02ptChar"/>
          <w:rFonts w:asciiTheme="minorHAnsi" w:hAnsiTheme="minorHAnsi" w:cstheme="minorHAnsi"/>
          <w:lang w:bidi="es-US"/>
        </w:rPr>
        <w:t xml:space="preserve"> comunicados suelen corresponder al trimestre anterior.  </w:t>
      </w:r>
    </w:p>
    <w:p w14:paraId="43A00031" w14:textId="3BA342FE" w:rsidR="00074F95" w:rsidRPr="004670BE" w:rsidRDefault="00196A75" w:rsidP="00BD57BF">
      <w:pPr>
        <w:jc w:val="both"/>
        <w:rPr>
          <w:rStyle w:val="Condensed-02ptChar"/>
          <w:rFonts w:asciiTheme="minorHAnsi" w:hAnsiTheme="minorHAnsi" w:cstheme="minorHAnsi"/>
        </w:rPr>
      </w:pPr>
      <w:r w:rsidRPr="004670BE">
        <w:rPr>
          <w:rStyle w:val="Condensed-02ptChar"/>
          <w:rFonts w:asciiTheme="minorHAnsi" w:hAnsiTheme="minorHAnsi" w:cstheme="minorHAnsi"/>
          <w:lang w:bidi="es-US"/>
        </w:rPr>
        <w:t xml:space="preserve">La </w:t>
      </w:r>
      <w:r w:rsidR="00126EB2" w:rsidRPr="00821AAF">
        <w:rPr>
          <w:lang w:bidi="es-US"/>
        </w:rPr>
        <w:t>Cooperativa de Asistencia Técnica (Technical Assistance Collaborative, TAC)</w:t>
      </w:r>
      <w:r w:rsidRPr="004670BE">
        <w:rPr>
          <w:rStyle w:val="Condensed-02ptChar"/>
          <w:rFonts w:asciiTheme="minorHAnsi" w:hAnsiTheme="minorHAnsi" w:cstheme="minorHAnsi"/>
          <w:lang w:bidi="es-US"/>
        </w:rPr>
        <w:t xml:space="preserve"> sigue examinando los avances de cada división en relación con las medidas y las acciones, que informan en una nueva plantilla elaborada al final de cada trimestre.  Rebecca Boss y Megan Lee son las consultoras de la TAC que apoyan al estado en el monitoreo trimestral.  La TAC sigue trabajando con el NCDHHS y Mathematica (contratista principal para la identificación de datos de referencia y medidas de resultados específicos para el Plan). </w:t>
      </w:r>
    </w:p>
    <w:p w14:paraId="37B95874" w14:textId="327B0D9F" w:rsidR="002450AF" w:rsidRPr="004670BE" w:rsidRDefault="00FF6960" w:rsidP="00BD57BF">
      <w:pPr>
        <w:jc w:val="both"/>
        <w:rPr>
          <w:rStyle w:val="Condensed-02ptChar"/>
          <w:rFonts w:asciiTheme="minorHAnsi" w:hAnsiTheme="minorHAnsi" w:cstheme="minorHAnsi"/>
        </w:rPr>
      </w:pPr>
      <w:r w:rsidRPr="004670BE">
        <w:rPr>
          <w:rStyle w:val="Condensed-02ptChar"/>
          <w:rFonts w:asciiTheme="minorHAnsi" w:hAnsiTheme="minorHAnsi" w:cstheme="minorHAnsi"/>
          <w:lang w:bidi="es-US"/>
        </w:rPr>
        <w:t>En un esfuerzo por lograr la visión del Plan Olmstead, el estado de Carolina del Norte está trabajando para</w:t>
      </w:r>
      <w:r w:rsidR="00961FCC" w:rsidRPr="004670BE">
        <w:rPr>
          <w:lang w:bidi="es-US"/>
        </w:rPr>
        <w:t xml:space="preserve"> fortalecer el sistema comunitario y ofrecer a más personas la oportunidad de vivir como miembros incluidos en sus comunidades. </w:t>
      </w:r>
      <w:r w:rsidR="00875112" w:rsidRPr="004670BE">
        <w:rPr>
          <w:rStyle w:val="Condensed-02ptChar"/>
          <w:rFonts w:asciiTheme="minorHAnsi" w:hAnsiTheme="minorHAnsi" w:cstheme="minorHAnsi"/>
          <w:lang w:bidi="es-US"/>
        </w:rPr>
        <w:t xml:space="preserve">Queremos dar un reconocimiento y una mención especial a todo el personal, la dirección y la Asamblea General de Carolina del Norte por el tiempo, la reflexión y los recursos que siguen invirtiendo en este proceso. </w:t>
      </w:r>
    </w:p>
    <w:p w14:paraId="3AAE54A1" w14:textId="77777777" w:rsidR="00EF61F4" w:rsidRPr="004670BE" w:rsidRDefault="00EF61F4" w:rsidP="00474C15">
      <w:pPr>
        <w:rPr>
          <w:rStyle w:val="Condensed-02ptChar"/>
          <w:rFonts w:asciiTheme="minorHAnsi" w:hAnsiTheme="minorHAnsi" w:cstheme="minorHAnsi"/>
        </w:rPr>
      </w:pPr>
    </w:p>
    <w:p w14:paraId="681AC797" w14:textId="77777777" w:rsidR="00EF61F4" w:rsidRPr="004670BE" w:rsidRDefault="00EF61F4" w:rsidP="00474C15">
      <w:pPr>
        <w:rPr>
          <w:rStyle w:val="Condensed-02ptChar"/>
          <w:rFonts w:asciiTheme="minorHAnsi" w:hAnsiTheme="minorHAnsi" w:cstheme="minorHAnsi"/>
        </w:rPr>
      </w:pPr>
    </w:p>
    <w:p w14:paraId="39064D95" w14:textId="77777777" w:rsidR="00EF61F4" w:rsidRPr="004670BE" w:rsidRDefault="00EF61F4" w:rsidP="00474C15">
      <w:pPr>
        <w:rPr>
          <w:rStyle w:val="Condensed-02ptChar"/>
          <w:rFonts w:asciiTheme="minorHAnsi" w:hAnsiTheme="minorHAnsi" w:cstheme="minorHAnsi"/>
        </w:rPr>
      </w:pPr>
    </w:p>
    <w:p w14:paraId="0F2AED01" w14:textId="77777777" w:rsidR="00EF61F4" w:rsidRPr="004670BE" w:rsidRDefault="00EF61F4" w:rsidP="00474C15">
      <w:pPr>
        <w:rPr>
          <w:rStyle w:val="Condensed-02ptChar"/>
          <w:rFonts w:asciiTheme="minorHAnsi" w:hAnsiTheme="minorHAnsi" w:cstheme="minorHAnsi"/>
        </w:rPr>
      </w:pPr>
    </w:p>
    <w:p w14:paraId="41DAE960" w14:textId="77777777" w:rsidR="00EF61F4" w:rsidRPr="004670BE" w:rsidRDefault="00EF61F4" w:rsidP="00474C15">
      <w:pPr>
        <w:rPr>
          <w:rStyle w:val="Condensed-02ptChar"/>
          <w:rFonts w:asciiTheme="minorHAnsi" w:hAnsiTheme="minorHAnsi" w:cstheme="minorHAnsi"/>
        </w:rPr>
      </w:pPr>
    </w:p>
    <w:p w14:paraId="28737FCF" w14:textId="77777777" w:rsidR="00EF61F4" w:rsidRPr="004670BE" w:rsidRDefault="00EF61F4" w:rsidP="00474C15">
      <w:pPr>
        <w:rPr>
          <w:rStyle w:val="Condensed-02ptChar"/>
          <w:rFonts w:asciiTheme="minorHAnsi" w:hAnsiTheme="minorHAnsi" w:cstheme="minorHAnsi"/>
        </w:rPr>
      </w:pPr>
    </w:p>
    <w:p w14:paraId="446640D4" w14:textId="77777777" w:rsidR="00461CDE" w:rsidRPr="004670BE" w:rsidRDefault="00461CDE" w:rsidP="00474C15">
      <w:pPr>
        <w:rPr>
          <w:rStyle w:val="Condensed-02ptChar"/>
          <w:rFonts w:asciiTheme="minorHAnsi" w:hAnsiTheme="minorHAnsi" w:cstheme="minorHAnsi"/>
        </w:rPr>
      </w:pPr>
    </w:p>
    <w:p w14:paraId="0DF18B9E" w14:textId="77777777" w:rsidR="00461CDE" w:rsidRPr="004670BE" w:rsidRDefault="00461CDE" w:rsidP="00474C15">
      <w:pPr>
        <w:rPr>
          <w:rStyle w:val="Condensed-02ptChar"/>
          <w:rFonts w:asciiTheme="minorHAnsi" w:hAnsiTheme="minorHAnsi" w:cstheme="minorHAnsi"/>
        </w:rPr>
      </w:pPr>
    </w:p>
    <w:p w14:paraId="5B266C4F" w14:textId="77777777" w:rsidR="00461CDE" w:rsidRPr="004670BE" w:rsidRDefault="00461CDE" w:rsidP="00474C15">
      <w:pPr>
        <w:rPr>
          <w:rStyle w:val="Condensed-02ptChar"/>
          <w:rFonts w:asciiTheme="minorHAnsi" w:hAnsiTheme="minorHAnsi" w:cstheme="minorHAnsi"/>
        </w:rPr>
      </w:pPr>
    </w:p>
    <w:p w14:paraId="5C40D409" w14:textId="60EEE4CD" w:rsidR="00474C15" w:rsidRPr="004670BE" w:rsidRDefault="00875112" w:rsidP="007640BA">
      <w:pPr>
        <w:pStyle w:val="Heading1"/>
        <w:rPr>
          <w:rFonts w:asciiTheme="minorHAnsi" w:hAnsiTheme="minorHAnsi" w:cstheme="minorHAnsi"/>
        </w:rPr>
      </w:pPr>
      <w:r w:rsidRPr="004670BE">
        <w:rPr>
          <w:rFonts w:asciiTheme="minorHAnsi" w:hAnsiTheme="minorHAnsi" w:cstheme="minorHAnsi"/>
          <w:lang w:bidi="es-US"/>
        </w:rPr>
        <w:t>Estado de las estrategias</w:t>
      </w:r>
    </w:p>
    <w:p w14:paraId="7BADF134" w14:textId="77777777" w:rsidR="00033790" w:rsidRPr="004670BE" w:rsidRDefault="00033790" w:rsidP="00033790">
      <w:pPr>
        <w:pStyle w:val="Caption"/>
      </w:pPr>
      <w:r w:rsidRPr="004670BE">
        <w:rPr>
          <w:lang w:bidi="es-US"/>
        </w:rPr>
        <w:t>Tabla 1. Resumen de estrategias y acciones del Plan hasta diciembre de 2023</w:t>
      </w:r>
    </w:p>
    <w:tbl>
      <w:tblPr>
        <w:tblStyle w:val="NCOlmsteadTable"/>
        <w:tblpPr w:leftFromText="180" w:rightFromText="180" w:vertAnchor="text" w:tblpY="1"/>
        <w:tblW w:w="9360" w:type="dxa"/>
        <w:tblLook w:val="04A0" w:firstRow="1" w:lastRow="0" w:firstColumn="1" w:lastColumn="0" w:noHBand="0" w:noVBand="1"/>
      </w:tblPr>
      <w:tblGrid>
        <w:gridCol w:w="795"/>
        <w:gridCol w:w="1518"/>
        <w:gridCol w:w="1554"/>
        <w:gridCol w:w="1438"/>
        <w:gridCol w:w="2086"/>
        <w:gridCol w:w="1969"/>
      </w:tblGrid>
      <w:tr w:rsidR="00033790" w:rsidRPr="004670BE" w14:paraId="74E6C024" w14:textId="77777777" w:rsidTr="00BD57BF">
        <w:trPr>
          <w:cnfStyle w:val="100000000000" w:firstRow="1" w:lastRow="0" w:firstColumn="0" w:lastColumn="0" w:oddVBand="0" w:evenVBand="0" w:oddHBand="0"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795" w:type="dxa"/>
          </w:tcPr>
          <w:p w14:paraId="5B0B4762" w14:textId="77777777" w:rsidR="00033790" w:rsidRPr="004670BE" w:rsidRDefault="00033790">
            <w:pPr>
              <w:spacing w:after="0"/>
              <w:rPr>
                <w:sz w:val="20"/>
                <w:szCs w:val="20"/>
              </w:rPr>
            </w:pPr>
            <w:r w:rsidRPr="004670BE">
              <w:rPr>
                <w:sz w:val="20"/>
                <w:szCs w:val="20"/>
                <w:lang w:bidi="es-US"/>
              </w:rPr>
              <w:t>Total</w:t>
            </w:r>
          </w:p>
        </w:tc>
        <w:tc>
          <w:tcPr>
            <w:tcW w:w="1518" w:type="dxa"/>
          </w:tcPr>
          <w:p w14:paraId="5ABE5F3B" w14:textId="77777777" w:rsidR="00033790" w:rsidRPr="004670BE" w:rsidRDefault="00033790">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4670BE">
              <w:rPr>
                <w:sz w:val="20"/>
                <w:szCs w:val="20"/>
                <w:lang w:bidi="es-US"/>
              </w:rPr>
              <w:t>Finalizado</w:t>
            </w:r>
          </w:p>
        </w:tc>
        <w:tc>
          <w:tcPr>
            <w:tcW w:w="1554" w:type="dxa"/>
          </w:tcPr>
          <w:p w14:paraId="54583219" w14:textId="77777777" w:rsidR="00033790" w:rsidRPr="004670BE" w:rsidRDefault="00033790">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4670BE">
              <w:rPr>
                <w:sz w:val="20"/>
                <w:szCs w:val="20"/>
                <w:lang w:bidi="es-US"/>
              </w:rPr>
              <w:t>En curso</w:t>
            </w:r>
          </w:p>
        </w:tc>
        <w:tc>
          <w:tcPr>
            <w:tcW w:w="1438" w:type="dxa"/>
          </w:tcPr>
          <w:p w14:paraId="5686D6DA" w14:textId="77777777" w:rsidR="00033790" w:rsidRPr="004670BE" w:rsidRDefault="00033790">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4670BE">
              <w:rPr>
                <w:sz w:val="20"/>
                <w:szCs w:val="20"/>
                <w:lang w:bidi="es-US"/>
              </w:rPr>
              <w:t>No iniciado</w:t>
            </w:r>
          </w:p>
        </w:tc>
        <w:tc>
          <w:tcPr>
            <w:tcW w:w="2086" w:type="dxa"/>
          </w:tcPr>
          <w:p w14:paraId="0DED4702" w14:textId="6AC51C24" w:rsidR="00033790" w:rsidRPr="004670BE" w:rsidRDefault="00033790">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4670BE">
              <w:rPr>
                <w:sz w:val="20"/>
                <w:szCs w:val="20"/>
                <w:lang w:bidi="es-US"/>
              </w:rPr>
              <w:t>Necesita revisión/</w:t>
            </w:r>
            <w:r w:rsidR="00BD57BF" w:rsidRPr="004670BE">
              <w:rPr>
                <w:sz w:val="20"/>
                <w:szCs w:val="20"/>
                <w:lang w:bidi="es-US"/>
              </w:rPr>
              <w:t xml:space="preserve"> </w:t>
            </w:r>
            <w:r w:rsidRPr="004670BE">
              <w:rPr>
                <w:sz w:val="20"/>
                <w:szCs w:val="20"/>
                <w:lang w:bidi="es-US"/>
              </w:rPr>
              <w:t>aclaración</w:t>
            </w:r>
          </w:p>
        </w:tc>
        <w:tc>
          <w:tcPr>
            <w:tcW w:w="1969" w:type="dxa"/>
          </w:tcPr>
          <w:p w14:paraId="62C9DB16" w14:textId="77777777" w:rsidR="00033790" w:rsidRPr="004670BE" w:rsidRDefault="00033790">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4670BE">
              <w:rPr>
                <w:sz w:val="20"/>
                <w:szCs w:val="20"/>
                <w:lang w:bidi="es-US"/>
              </w:rPr>
              <w:t>Ya no está en curso</w:t>
            </w:r>
          </w:p>
        </w:tc>
      </w:tr>
      <w:tr w:rsidR="00033790" w:rsidRPr="004670BE" w14:paraId="38D0002D" w14:textId="77777777" w:rsidTr="00BD57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5" w:type="dxa"/>
          </w:tcPr>
          <w:p w14:paraId="53662D86" w14:textId="79F8D4BD" w:rsidR="00033790" w:rsidRPr="004670BE" w:rsidRDefault="00883AFA">
            <w:pPr>
              <w:spacing w:after="0"/>
              <w:rPr>
                <w:sz w:val="20"/>
                <w:szCs w:val="20"/>
              </w:rPr>
            </w:pPr>
            <w:r w:rsidRPr="004670BE">
              <w:rPr>
                <w:sz w:val="20"/>
                <w:szCs w:val="20"/>
                <w:lang w:bidi="es-US"/>
              </w:rPr>
              <w:t>45</w:t>
            </w:r>
          </w:p>
        </w:tc>
        <w:tc>
          <w:tcPr>
            <w:tcW w:w="1518" w:type="dxa"/>
          </w:tcPr>
          <w:p w14:paraId="11ED3EAE" w14:textId="5A0649AC" w:rsidR="00033790" w:rsidRPr="004670BE" w:rsidRDefault="00883AFA">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4670BE">
              <w:rPr>
                <w:sz w:val="20"/>
                <w:szCs w:val="20"/>
                <w:lang w:bidi="es-US"/>
              </w:rPr>
              <w:t>1</w:t>
            </w:r>
          </w:p>
        </w:tc>
        <w:tc>
          <w:tcPr>
            <w:tcW w:w="1554" w:type="dxa"/>
          </w:tcPr>
          <w:p w14:paraId="558A5A3F" w14:textId="23825AA9" w:rsidR="00033790" w:rsidRPr="004670BE" w:rsidRDefault="00883AFA" w:rsidP="00883AFA">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670BE">
              <w:rPr>
                <w:sz w:val="20"/>
                <w:szCs w:val="20"/>
                <w:lang w:bidi="es-US"/>
              </w:rPr>
              <w:t>26</w:t>
            </w:r>
          </w:p>
        </w:tc>
        <w:tc>
          <w:tcPr>
            <w:tcW w:w="1438" w:type="dxa"/>
          </w:tcPr>
          <w:p w14:paraId="37B51634" w14:textId="2A1FDC1F" w:rsidR="00033790" w:rsidRPr="004670BE" w:rsidRDefault="00883AFA">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4670BE">
              <w:rPr>
                <w:sz w:val="20"/>
                <w:szCs w:val="20"/>
                <w:lang w:bidi="es-US"/>
              </w:rPr>
              <w:t>2</w:t>
            </w:r>
          </w:p>
        </w:tc>
        <w:tc>
          <w:tcPr>
            <w:tcW w:w="2086" w:type="dxa"/>
          </w:tcPr>
          <w:p w14:paraId="39219146" w14:textId="5F198A27" w:rsidR="00033790" w:rsidRPr="004670BE" w:rsidRDefault="00883AFA">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4670BE">
              <w:rPr>
                <w:sz w:val="20"/>
                <w:szCs w:val="20"/>
                <w:lang w:bidi="es-US"/>
              </w:rPr>
              <w:t>16*</w:t>
            </w:r>
          </w:p>
        </w:tc>
        <w:tc>
          <w:tcPr>
            <w:tcW w:w="1969" w:type="dxa"/>
          </w:tcPr>
          <w:p w14:paraId="57CEEFBD" w14:textId="103CA7ED" w:rsidR="00033790" w:rsidRPr="004670BE" w:rsidRDefault="00033790">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bl>
    <w:p w14:paraId="1EA38203" w14:textId="77777777" w:rsidR="00033790" w:rsidRPr="004670BE" w:rsidRDefault="00033790" w:rsidP="00033790">
      <w:pPr>
        <w:pStyle w:val="ParagraphbeforeNumberedList"/>
        <w:numPr>
          <w:ilvl w:val="0"/>
          <w:numId w:val="0"/>
        </w:numPr>
      </w:pPr>
    </w:p>
    <w:p w14:paraId="01BF6165" w14:textId="77777777" w:rsidR="00033790" w:rsidRPr="004670BE" w:rsidRDefault="00033790" w:rsidP="00BD57BF">
      <w:pPr>
        <w:spacing w:after="144"/>
        <w:jc w:val="both"/>
        <w:rPr>
          <w:sz w:val="20"/>
          <w:szCs w:val="20"/>
        </w:rPr>
      </w:pPr>
      <w:r w:rsidRPr="004670BE">
        <w:rPr>
          <w:sz w:val="20"/>
          <w:szCs w:val="20"/>
          <w:u w:val="single"/>
          <w:lang w:bidi="es-US"/>
        </w:rPr>
        <w:t>Finalizado</w:t>
      </w:r>
      <w:r w:rsidRPr="004670BE">
        <w:rPr>
          <w:sz w:val="20"/>
          <w:szCs w:val="20"/>
          <w:lang w:bidi="es-US"/>
        </w:rPr>
        <w:t>: se cumplieron la estrategia y todas las acciones identificadas.</w:t>
      </w:r>
    </w:p>
    <w:p w14:paraId="26080AED" w14:textId="77777777" w:rsidR="00033790" w:rsidRPr="004670BE" w:rsidRDefault="00033790" w:rsidP="00BD57BF">
      <w:pPr>
        <w:spacing w:after="144"/>
        <w:jc w:val="both"/>
        <w:rPr>
          <w:sz w:val="20"/>
          <w:szCs w:val="20"/>
        </w:rPr>
      </w:pPr>
      <w:r w:rsidRPr="004670BE">
        <w:rPr>
          <w:sz w:val="20"/>
          <w:szCs w:val="20"/>
          <w:u w:val="single"/>
          <w:lang w:bidi="es-US"/>
        </w:rPr>
        <w:t>En curso</w:t>
      </w:r>
      <w:r w:rsidRPr="004670BE">
        <w:rPr>
          <w:sz w:val="20"/>
          <w:szCs w:val="20"/>
          <w:lang w:bidi="es-US"/>
        </w:rPr>
        <w:t>: el personal participó activamente en la estrategia, y se adoptó al menos una medida.</w:t>
      </w:r>
    </w:p>
    <w:p w14:paraId="1D97F886" w14:textId="77777777" w:rsidR="00033790" w:rsidRPr="004670BE" w:rsidRDefault="00033790" w:rsidP="00BD57BF">
      <w:pPr>
        <w:spacing w:after="144"/>
        <w:jc w:val="both"/>
        <w:rPr>
          <w:sz w:val="20"/>
          <w:szCs w:val="20"/>
        </w:rPr>
      </w:pPr>
      <w:r w:rsidRPr="004670BE">
        <w:rPr>
          <w:sz w:val="20"/>
          <w:szCs w:val="20"/>
          <w:u w:val="single"/>
          <w:lang w:bidi="es-US"/>
        </w:rPr>
        <w:t>No iniciado</w:t>
      </w:r>
      <w:r w:rsidRPr="004670BE">
        <w:rPr>
          <w:sz w:val="20"/>
          <w:szCs w:val="20"/>
          <w:lang w:bidi="es-US"/>
        </w:rPr>
        <w:t xml:space="preserve">: el trabajo relacionado con las estrategias o las acciones no estaba en marcha al final del periodo que se informa. </w:t>
      </w:r>
    </w:p>
    <w:p w14:paraId="6A25EFAA" w14:textId="7042CAF5" w:rsidR="00033790" w:rsidRPr="004670BE" w:rsidRDefault="00033790" w:rsidP="00BD57BF">
      <w:pPr>
        <w:spacing w:after="144"/>
        <w:jc w:val="both"/>
        <w:rPr>
          <w:sz w:val="20"/>
          <w:szCs w:val="20"/>
        </w:rPr>
      </w:pPr>
      <w:r w:rsidRPr="004670BE">
        <w:rPr>
          <w:sz w:val="20"/>
          <w:szCs w:val="20"/>
          <w:u w:val="single"/>
          <w:lang w:bidi="es-US"/>
        </w:rPr>
        <w:t>Necesita revisión/aclaración</w:t>
      </w:r>
      <w:r w:rsidRPr="004670BE">
        <w:rPr>
          <w:sz w:val="20"/>
          <w:szCs w:val="20"/>
          <w:lang w:bidi="es-US"/>
        </w:rPr>
        <w:t xml:space="preserve">: la estrategia </w:t>
      </w:r>
      <w:r w:rsidRPr="004670BE">
        <w:rPr>
          <w:i/>
          <w:sz w:val="20"/>
          <w:szCs w:val="20"/>
          <w:lang w:bidi="es-US"/>
        </w:rPr>
        <w:t>podría</w:t>
      </w:r>
      <w:r w:rsidRPr="004670BE">
        <w:rPr>
          <w:sz w:val="20"/>
          <w:szCs w:val="20"/>
          <w:lang w:bidi="es-US"/>
        </w:rPr>
        <w:t xml:space="preserve"> avanzar con modificaciones. *Para el periodo de este informe, esto puede reflejar que las estrategias podrían avanzar o están en marcha, no hay información suficiente para clasificarlas.</w:t>
      </w:r>
    </w:p>
    <w:p w14:paraId="4C68356F" w14:textId="77777777" w:rsidR="00033790" w:rsidRPr="004670BE" w:rsidRDefault="00033790" w:rsidP="00BD57BF">
      <w:pPr>
        <w:spacing w:after="144"/>
        <w:jc w:val="both"/>
        <w:rPr>
          <w:sz w:val="20"/>
          <w:szCs w:val="20"/>
        </w:rPr>
      </w:pPr>
      <w:r w:rsidRPr="004670BE">
        <w:rPr>
          <w:sz w:val="20"/>
          <w:szCs w:val="20"/>
          <w:u w:val="single"/>
          <w:lang w:bidi="es-US"/>
        </w:rPr>
        <w:t>Ya no está en curso</w:t>
      </w:r>
      <w:r w:rsidRPr="004670BE">
        <w:rPr>
          <w:sz w:val="20"/>
          <w:szCs w:val="20"/>
          <w:lang w:bidi="es-US"/>
        </w:rPr>
        <w:t>: la estrategia ya no está activa para la implementación del Plan.</w:t>
      </w:r>
    </w:p>
    <w:p w14:paraId="46260C30" w14:textId="77777777" w:rsidR="005535E7" w:rsidRPr="004670BE" w:rsidRDefault="005535E7" w:rsidP="00BD57BF">
      <w:pPr>
        <w:spacing w:after="0"/>
        <w:jc w:val="both"/>
        <w:rPr>
          <w:rFonts w:cstheme="minorHAnsi"/>
        </w:rPr>
      </w:pPr>
    </w:p>
    <w:p w14:paraId="45153716" w14:textId="5D48426D" w:rsidR="00875112" w:rsidRPr="004670BE" w:rsidRDefault="006C27E8" w:rsidP="00BD57BF">
      <w:pPr>
        <w:spacing w:after="0"/>
        <w:jc w:val="both"/>
        <w:rPr>
          <w:rFonts w:cstheme="minorHAnsi"/>
        </w:rPr>
      </w:pPr>
      <w:r w:rsidRPr="004670BE">
        <w:rPr>
          <w:rFonts w:cstheme="minorHAnsi"/>
          <w:lang w:bidi="es-US"/>
        </w:rPr>
        <w:t>En el transcurso de l</w:t>
      </w:r>
      <w:r w:rsidR="00481E35" w:rsidRPr="004670BE">
        <w:rPr>
          <w:lang w:bidi="es-US"/>
        </w:rPr>
        <w:t>a</w:t>
      </w:r>
      <w:r w:rsidRPr="004670BE">
        <w:rPr>
          <w:rFonts w:cstheme="minorHAnsi"/>
          <w:lang w:bidi="es-US"/>
        </w:rPr>
        <w:t xml:space="preserve"> implementación del Plan 2024-2025, se espera que el NCDHHS siga perfeccionando y modificando las estrategias y las acciones; la TAC hará seguimiento y monitoreará esto realizando un informe de avances trimestrales consolidado.  La TAC continuará trabajando con el NCDHHS para determinar qué modificaciones o qué tipo de asistencia técnica pueden ser necesarias para realizar avances en todas las estrategias del Plan para el año calendario (AC) 2024-2025. </w:t>
      </w:r>
    </w:p>
    <w:p w14:paraId="6561E2D4" w14:textId="77777777" w:rsidR="005535E7" w:rsidRPr="004670BE" w:rsidRDefault="005535E7" w:rsidP="00170924">
      <w:pPr>
        <w:spacing w:after="0"/>
        <w:rPr>
          <w:rFonts w:cstheme="minorHAnsi"/>
        </w:rPr>
      </w:pPr>
    </w:p>
    <w:p w14:paraId="64EE7C57" w14:textId="1A464AF9" w:rsidR="00592A3B" w:rsidRPr="004670BE" w:rsidRDefault="00875112" w:rsidP="001E49A5">
      <w:pPr>
        <w:pStyle w:val="Heading2"/>
        <w:rPr>
          <w:rFonts w:asciiTheme="minorHAnsi" w:hAnsiTheme="minorHAnsi" w:cstheme="minorHAnsi"/>
        </w:rPr>
      </w:pPr>
      <w:r w:rsidRPr="004670BE">
        <w:rPr>
          <w:rFonts w:asciiTheme="minorHAnsi" w:hAnsiTheme="minorHAnsi" w:cstheme="minorHAnsi"/>
          <w:lang w:bidi="es-US"/>
        </w:rPr>
        <w:t>Progresos más destacados</w:t>
      </w:r>
    </w:p>
    <w:p w14:paraId="79887EC7" w14:textId="1B5F19BB" w:rsidR="008E6609" w:rsidRPr="004670BE" w:rsidRDefault="00303163" w:rsidP="00BD57BF">
      <w:pPr>
        <w:spacing w:after="0"/>
        <w:jc w:val="both"/>
      </w:pPr>
      <w:r w:rsidRPr="004670BE">
        <w:rPr>
          <w:rFonts w:cstheme="minorHAnsi"/>
          <w:lang w:bidi="es-US"/>
        </w:rPr>
        <w:t xml:space="preserve">Las divisiones del NCDHHS informaron de los avances en las estrategias durante el primer trimestre del nuevo plan (Q2 del AC).  Algunos ejemplos de los avances que se lograron con el plan anterior pueden encontrarse en los informes resumidos trimestrales que publicó el Departamento en el sitio web del Plan Olmstead del NCDHHS en </w:t>
      </w:r>
      <w:hyperlink r:id="rId19" w:history="1">
        <w:r w:rsidR="008E6609" w:rsidRPr="004670BE">
          <w:rPr>
            <w:rStyle w:val="Hyperlink"/>
            <w:lang w:bidi="es-US"/>
          </w:rPr>
          <w:t>https://www.ncdhhs.gov/about/administrative-offices/office-secretary/nc-olmstead</w:t>
        </w:r>
      </w:hyperlink>
      <w:r w:rsidRPr="004670BE">
        <w:rPr>
          <w:rFonts w:cstheme="minorHAnsi"/>
          <w:lang w:bidi="es-US"/>
        </w:rPr>
        <w:t>.</w:t>
      </w:r>
    </w:p>
    <w:p w14:paraId="21649760" w14:textId="0C6AA287" w:rsidR="00232ABB" w:rsidRPr="004670BE" w:rsidRDefault="00882848" w:rsidP="00BD57BF">
      <w:pPr>
        <w:spacing w:after="0"/>
        <w:jc w:val="both"/>
        <w:rPr>
          <w:rFonts w:cstheme="minorHAnsi"/>
        </w:rPr>
      </w:pPr>
      <w:r w:rsidRPr="004670BE">
        <w:rPr>
          <w:rFonts w:cstheme="minorHAnsi"/>
          <w:lang w:bidi="es-US"/>
        </w:rPr>
        <w:t xml:space="preserve">  Es importante señalar que este es el primer periodo de informe bajo el plan actualizado.  Para implementar las nuevas estrategias, un plazo de tres meses es un periodo muy corto y los avances en las nuevas acciones llevarán su tiempo.  Además, el proceso de presentación de informes de avances cambió para reflejar las nuevas estrategias y, aunque se desarrolló para simplificar el proceso, usar instrumentos nuevos implica una curva de aprendizaje.  Por lo tanto, los informes de este primer trimestre pueden ser limitados.  Esto no implica de ningún modo que el estado no esté implementando activamente el Plan Olmstead, sino que la presentación de informes puede verse obstaculizada y que un avance significativo requerirá más de un trimestre de actividad.  No obstante, se destacan </w:t>
      </w:r>
      <w:r w:rsidRPr="004670BE">
        <w:rPr>
          <w:rFonts w:cstheme="minorHAnsi"/>
          <w:i/>
          <w:lang w:bidi="es-US"/>
        </w:rPr>
        <w:t>ejemplos</w:t>
      </w:r>
      <w:r w:rsidRPr="004670BE">
        <w:rPr>
          <w:rFonts w:cstheme="minorHAnsi"/>
          <w:lang w:bidi="es-US"/>
        </w:rPr>
        <w:t xml:space="preserve"> de los avances que se lograron entre el </w:t>
      </w:r>
      <w:bookmarkStart w:id="0" w:name="_Hlk167739942"/>
      <w:r w:rsidRPr="004670BE">
        <w:rPr>
          <w:rFonts w:cstheme="minorHAnsi"/>
          <w:lang w:bidi="es-US"/>
        </w:rPr>
        <w:t>1 de abril y el 30 de junio de 2024</w:t>
      </w:r>
      <w:bookmarkEnd w:id="0"/>
      <w:r w:rsidRPr="004670BE">
        <w:rPr>
          <w:rFonts w:cstheme="minorHAnsi"/>
          <w:lang w:bidi="es-US"/>
        </w:rPr>
        <w:t>.</w:t>
      </w:r>
    </w:p>
    <w:p w14:paraId="71E9D6AE" w14:textId="56091F82" w:rsidR="00D3348F" w:rsidRPr="004670BE" w:rsidRDefault="00D3348F" w:rsidP="00BD57BF">
      <w:pPr>
        <w:spacing w:after="0"/>
        <w:jc w:val="both"/>
        <w:rPr>
          <w:rFonts w:cstheme="minorHAnsi"/>
        </w:rPr>
      </w:pPr>
    </w:p>
    <w:p w14:paraId="370A9751" w14:textId="2C5BE29B" w:rsidR="00D3348F" w:rsidRPr="004670BE" w:rsidRDefault="00D3348F" w:rsidP="00BD57BF">
      <w:pPr>
        <w:spacing w:after="0"/>
        <w:jc w:val="both"/>
        <w:rPr>
          <w:rFonts w:cstheme="minorHAnsi"/>
        </w:rPr>
      </w:pPr>
    </w:p>
    <w:p w14:paraId="5C112887" w14:textId="77777777" w:rsidR="00D3348F" w:rsidRPr="004670BE" w:rsidRDefault="00D3348F" w:rsidP="00BD57BF">
      <w:pPr>
        <w:spacing w:after="0"/>
        <w:jc w:val="both"/>
        <w:rPr>
          <w:rFonts w:cstheme="minorHAnsi"/>
        </w:rPr>
      </w:pPr>
    </w:p>
    <w:p w14:paraId="0602E65C" w14:textId="62458DFA" w:rsidR="002379F5" w:rsidRPr="004670BE" w:rsidRDefault="002D5ACC" w:rsidP="00BD57BF">
      <w:pPr>
        <w:pStyle w:val="Heading3"/>
        <w:spacing w:after="0"/>
        <w:jc w:val="both"/>
        <w:rPr>
          <w:rFonts w:cstheme="minorHAnsi"/>
        </w:rPr>
      </w:pPr>
      <w:r w:rsidRPr="004670BE">
        <w:rPr>
          <w:rFonts w:cstheme="minorHAnsi"/>
          <w:lang w:bidi="es-US"/>
        </w:rPr>
        <w:t>Ejemplos de estrategias y acciones completadas o en proceso entre el 1 de abril y el 1 de junio de 2024</w:t>
      </w:r>
    </w:p>
    <w:p w14:paraId="58E78845" w14:textId="77777777" w:rsidR="009A6853" w:rsidRPr="004670BE" w:rsidRDefault="009A6853" w:rsidP="00BD57BF">
      <w:pPr>
        <w:tabs>
          <w:tab w:val="left" w:pos="8660"/>
        </w:tabs>
        <w:spacing w:after="0"/>
        <w:jc w:val="both"/>
        <w:rPr>
          <w:rFonts w:cstheme="minorHAnsi"/>
        </w:rPr>
      </w:pPr>
    </w:p>
    <w:p w14:paraId="33D50511" w14:textId="6D016C97" w:rsidR="00245B55" w:rsidRPr="004670BE" w:rsidRDefault="00875112" w:rsidP="00BD57BF">
      <w:pPr>
        <w:pStyle w:val="Heading4"/>
        <w:jc w:val="both"/>
        <w:rPr>
          <w:rFonts w:cstheme="minorHAnsi"/>
        </w:rPr>
      </w:pPr>
      <w:r w:rsidRPr="004670BE">
        <w:rPr>
          <w:rFonts w:cstheme="minorHAnsi"/>
          <w:lang w:bidi="es-US"/>
        </w:rPr>
        <w:t>Área prioritaria </w:t>
      </w:r>
      <w:r w:rsidR="002B25AF" w:rsidRPr="004670BE">
        <w:rPr>
          <w:rFonts w:cstheme="minorHAnsi"/>
          <w:lang w:bidi="es-US"/>
        </w:rPr>
        <w:t>núm.</w:t>
      </w:r>
      <w:r w:rsidRPr="004670BE">
        <w:rPr>
          <w:rFonts w:cstheme="minorHAnsi"/>
          <w:lang w:bidi="es-US"/>
        </w:rPr>
        <w:t xml:space="preserve"> 1: Aumentar las oportunidades para que las personas y las familias opten por la inclusión en la comunidad mediante el acceso a los servicios y los apoyos </w:t>
      </w:r>
      <w:r w:rsidR="000D4952" w:rsidRPr="004670BE">
        <w:rPr>
          <w:rFonts w:cstheme="minorHAnsi"/>
          <w:lang w:bidi="es-US"/>
        </w:rPr>
        <w:t>basados en el hogar y la</w:t>
      </w:r>
      <w:r w:rsidR="00A21582" w:rsidRPr="004670BE">
        <w:rPr>
          <w:rFonts w:cstheme="minorHAnsi"/>
          <w:lang w:bidi="es-US"/>
        </w:rPr>
        <w:t xml:space="preserve"> comunidad</w:t>
      </w:r>
      <w:r w:rsidRPr="004670BE">
        <w:rPr>
          <w:rFonts w:cstheme="minorHAnsi"/>
          <w:lang w:bidi="es-US"/>
        </w:rPr>
        <w:t xml:space="preserve"> de la exención de Medicaid</w:t>
      </w:r>
    </w:p>
    <w:p w14:paraId="281CC70E" w14:textId="2E06C302" w:rsidR="00F429D5" w:rsidRPr="004670BE" w:rsidRDefault="00F429D5" w:rsidP="00BD57BF">
      <w:pPr>
        <w:spacing w:after="0"/>
        <w:jc w:val="both"/>
      </w:pPr>
    </w:p>
    <w:p w14:paraId="5C4C6584" w14:textId="410A7C95" w:rsidR="009435D8" w:rsidRPr="004670BE" w:rsidRDefault="00211417" w:rsidP="00BD57BF">
      <w:pPr>
        <w:spacing w:after="255"/>
        <w:contextualSpacing/>
        <w:jc w:val="both"/>
        <w:rPr>
          <w:rFonts w:cstheme="minorHAnsi"/>
          <w:szCs w:val="22"/>
        </w:rPr>
      </w:pPr>
      <w:r w:rsidRPr="004670BE">
        <w:rPr>
          <w:rFonts w:cstheme="minorHAnsi"/>
          <w:szCs w:val="22"/>
          <w:lang w:bidi="es-US"/>
        </w:rPr>
        <w:t xml:space="preserve">A principios de año, la División de Beneficios de Salud (Division of Health Benefits, DHB) recibió la aprobación para añadir 350 plazas a la exención Innovations. En este trimestre, la DHB está apoyando los planes personalizados para incorporar personas que estaban en la lista de espera de plazas de exención y está monitoreando la utilización. En marzo de 2024, la DHB añadió 500 plazas adicionales a la exención CAP/C y la División inició el proceso de inscripción para personas con afecciones que cumplan los requisitos. </w:t>
      </w:r>
    </w:p>
    <w:p w14:paraId="53191CBB" w14:textId="77777777" w:rsidR="00EB0DED" w:rsidRPr="004670BE" w:rsidRDefault="00EB0DED" w:rsidP="00BD57BF">
      <w:pPr>
        <w:spacing w:after="0"/>
        <w:jc w:val="both"/>
        <w:rPr>
          <w:rFonts w:cstheme="minorHAnsi"/>
          <w:szCs w:val="22"/>
        </w:rPr>
      </w:pPr>
    </w:p>
    <w:p w14:paraId="6768CE7A" w14:textId="785FE30E" w:rsidR="005E4E03" w:rsidRPr="004670BE" w:rsidRDefault="00875112" w:rsidP="00BD57BF">
      <w:pPr>
        <w:spacing w:after="0"/>
        <w:jc w:val="both"/>
        <w:rPr>
          <w:rFonts w:cstheme="minorHAnsi"/>
          <w:b/>
          <w:i/>
          <w:color w:val="007FAA" w:themeColor="accent2"/>
          <w:sz w:val="24"/>
        </w:rPr>
      </w:pPr>
      <w:r w:rsidRPr="004670BE">
        <w:rPr>
          <w:rFonts w:cstheme="minorHAnsi"/>
          <w:b/>
          <w:i/>
          <w:color w:val="007FAA" w:themeColor="accent2"/>
          <w:sz w:val="24"/>
          <w:lang w:bidi="es-US"/>
        </w:rPr>
        <w:t>Área prioritaria </w:t>
      </w:r>
      <w:r w:rsidR="002B25AF" w:rsidRPr="004670BE">
        <w:rPr>
          <w:rFonts w:cstheme="minorHAnsi"/>
          <w:b/>
          <w:i/>
          <w:color w:val="007FAA" w:themeColor="accent2"/>
          <w:sz w:val="24"/>
          <w:lang w:bidi="es-US"/>
        </w:rPr>
        <w:t>núm.</w:t>
      </w:r>
      <w:r w:rsidRPr="004670BE">
        <w:rPr>
          <w:rFonts w:cstheme="minorHAnsi"/>
          <w:b/>
          <w:i/>
          <w:color w:val="007FAA" w:themeColor="accent2"/>
          <w:sz w:val="24"/>
          <w:lang w:bidi="es-US"/>
        </w:rPr>
        <w:t xml:space="preserve"> 2: Reforzar las oportunidades para evitar la </w:t>
      </w:r>
      <w:r w:rsidR="00826588" w:rsidRPr="004670BE">
        <w:rPr>
          <w:rFonts w:cstheme="minorHAnsi"/>
          <w:b/>
          <w:i/>
          <w:color w:val="007FAA" w:themeColor="accent2"/>
          <w:sz w:val="24"/>
          <w:lang w:bidi="es-US"/>
        </w:rPr>
        <w:t xml:space="preserve">admisión </w:t>
      </w:r>
      <w:r w:rsidRPr="004670BE">
        <w:rPr>
          <w:rFonts w:cstheme="minorHAnsi"/>
          <w:b/>
          <w:i/>
          <w:color w:val="007FAA" w:themeColor="accent2"/>
          <w:sz w:val="24"/>
          <w:lang w:bidi="es-US"/>
        </w:rPr>
        <w:t>innecesaria y los entornos que separan a las personas de la comunidad, y ayudarlas en la transición</w:t>
      </w:r>
    </w:p>
    <w:p w14:paraId="00F40C1B" w14:textId="77777777" w:rsidR="00D11407" w:rsidRPr="004670BE" w:rsidRDefault="00D11407" w:rsidP="00BD57BF">
      <w:pPr>
        <w:spacing w:after="0"/>
        <w:jc w:val="both"/>
        <w:rPr>
          <w:rFonts w:cstheme="minorHAnsi"/>
        </w:rPr>
      </w:pPr>
    </w:p>
    <w:p w14:paraId="017EC154" w14:textId="1352E4DD" w:rsidR="00FB25B3" w:rsidRPr="004670BE" w:rsidRDefault="0071620D" w:rsidP="00BD57BF">
      <w:pPr>
        <w:spacing w:after="0" w:line="240" w:lineRule="auto"/>
        <w:jc w:val="both"/>
        <w:rPr>
          <w:rFonts w:eastAsia="Times New Roman" w:cstheme="minorHAnsi"/>
          <w:szCs w:val="22"/>
        </w:rPr>
      </w:pPr>
      <w:r w:rsidRPr="004670BE">
        <w:rPr>
          <w:rFonts w:eastAsia="Times New Roman" w:cstheme="minorHAnsi"/>
          <w:szCs w:val="22"/>
          <w:lang w:bidi="es-US"/>
        </w:rPr>
        <w:t xml:space="preserve">La División de Bienestar Infantil y Familiar (Division of Child and Family Wellbeing, DCFW) está ampliando la subvención del sistema de atención para implementar </w:t>
      </w:r>
      <w:r w:rsidR="0075436D" w:rsidRPr="004670BE">
        <w:rPr>
          <w:rFonts w:eastAsia="Times New Roman" w:cstheme="minorHAnsi"/>
          <w:szCs w:val="22"/>
          <w:lang w:bidi="es-US"/>
        </w:rPr>
        <w:t>servicios de apoyo</w:t>
      </w:r>
      <w:r w:rsidR="007B17C3" w:rsidRPr="004670BE">
        <w:rPr>
          <w:rFonts w:eastAsia="Times New Roman" w:cstheme="minorHAnsi"/>
          <w:szCs w:val="22"/>
          <w:lang w:bidi="es-US"/>
        </w:rPr>
        <w:t xml:space="preserve"> integral de alta fidelidad (</w:t>
      </w:r>
      <w:r w:rsidRPr="004670BE">
        <w:rPr>
          <w:rFonts w:eastAsia="Times New Roman" w:cstheme="minorHAnsi"/>
          <w:szCs w:val="22"/>
          <w:lang w:bidi="es-US"/>
        </w:rPr>
        <w:t>High Fidelity Wraparound</w:t>
      </w:r>
      <w:r w:rsidR="007B17C3" w:rsidRPr="004670BE">
        <w:rPr>
          <w:rFonts w:eastAsia="Times New Roman" w:cstheme="minorHAnsi"/>
          <w:szCs w:val="22"/>
          <w:lang w:bidi="es-US"/>
        </w:rPr>
        <w:t>, HFW)</w:t>
      </w:r>
      <w:r w:rsidRPr="004670BE">
        <w:rPr>
          <w:rFonts w:eastAsia="Times New Roman" w:cstheme="minorHAnsi"/>
          <w:szCs w:val="22"/>
          <w:lang w:bidi="es-US"/>
        </w:rPr>
        <w:t xml:space="preserve"> en cinco condados adicionales y confirmó la financiación para el año fiscal estatal 2025 para seguir la ampliación, con el objetivo de llegar a los 100 condados de Carolina del Norte. </w:t>
      </w:r>
    </w:p>
    <w:p w14:paraId="3E767AA0" w14:textId="04BE8CEF" w:rsidR="00407533" w:rsidRPr="004670BE" w:rsidRDefault="00407533" w:rsidP="00BD57BF">
      <w:pPr>
        <w:spacing w:after="0" w:line="240" w:lineRule="auto"/>
        <w:jc w:val="both"/>
        <w:rPr>
          <w:rFonts w:eastAsia="Times New Roman" w:cstheme="minorHAnsi"/>
          <w:szCs w:val="22"/>
        </w:rPr>
      </w:pPr>
    </w:p>
    <w:p w14:paraId="1D316626" w14:textId="542246FB" w:rsidR="00407533" w:rsidRPr="004670BE" w:rsidRDefault="00407533" w:rsidP="00BD57BF">
      <w:pPr>
        <w:spacing w:after="0" w:line="240" w:lineRule="auto"/>
        <w:jc w:val="both"/>
        <w:rPr>
          <w:rFonts w:eastAsia="Times New Roman" w:cstheme="minorHAnsi"/>
          <w:szCs w:val="22"/>
        </w:rPr>
      </w:pPr>
      <w:r w:rsidRPr="004670BE">
        <w:rPr>
          <w:rFonts w:eastAsia="Times New Roman" w:cstheme="minorHAnsi"/>
          <w:szCs w:val="22"/>
          <w:lang w:bidi="es-US"/>
        </w:rPr>
        <w:t xml:space="preserve">La División de </w:t>
      </w:r>
      <w:r w:rsidR="00F91209" w:rsidRPr="004670BE">
        <w:rPr>
          <w:rFonts w:eastAsia="Times New Roman" w:cstheme="minorHAnsi"/>
          <w:szCs w:val="22"/>
          <w:lang w:bidi="es-US"/>
        </w:rPr>
        <w:t xml:space="preserve">Servicios de </w:t>
      </w:r>
      <w:r w:rsidRPr="004670BE">
        <w:rPr>
          <w:rFonts w:eastAsia="Times New Roman" w:cstheme="minorHAnsi"/>
          <w:szCs w:val="22"/>
          <w:lang w:bidi="es-US"/>
        </w:rPr>
        <w:t xml:space="preserve">Salud Mental, Discapacidades del Desarrollo y </w:t>
      </w:r>
      <w:r w:rsidR="00F91209" w:rsidRPr="004670BE">
        <w:rPr>
          <w:rFonts w:eastAsia="Times New Roman" w:cstheme="minorHAnsi"/>
          <w:szCs w:val="22"/>
          <w:lang w:bidi="es-US"/>
        </w:rPr>
        <w:t>Uso</w:t>
      </w:r>
      <w:r w:rsidRPr="004670BE">
        <w:rPr>
          <w:rFonts w:eastAsia="Times New Roman" w:cstheme="minorHAnsi"/>
          <w:szCs w:val="22"/>
          <w:lang w:bidi="es-US"/>
        </w:rPr>
        <w:t xml:space="preserve"> de Sustancias (Division of Mental Health, Developmental Disabilities, and Substance Use Services, DMH/DD/SUS) informó que ha avanzado en completar un análisis del panorama de la atención residencial para identificar los obstáculos que existen a la hora de servir a los jóvenes en la comunidad antes y después del tratamiento residencial, e identificar estrategias innovadoras para mejorar la prestación de servicios y los resultados de los entornos de tratamiento residencial.  Estos esfuerzos apoyan la estrategia de reducir la duración de la estadía en centros de tratamiento residencial psiquiátrico (Psychiatric Residential Treatment Facilities, PRTF), así como la reincidencia.  La División también informa de la publicación de una petición de solicitudes (Request for Applications, RFA) para ampliar los programas de relevo dirigidos por pares a condados que actualmente no disponen de ese servicio.  Se espera que en otoño de 2024 se abra en el condado de Wake un nuevo programa de relevo dirigido por pares.  Además, recientemente la DMH/DD/SUS envió una encuesta a las </w:t>
      </w:r>
      <w:r w:rsidR="005B1A21" w:rsidRPr="00821AAF">
        <w:rPr>
          <w:w w:val="105"/>
          <w:lang w:bidi="es-US"/>
        </w:rPr>
        <w:t>Local Management Entities / Managed Care Organizations (LME/MCO) - Entidades Locales de Administración / Organizaciones de Asistencia Administrada (LME/MCO)</w:t>
      </w:r>
      <w:r w:rsidR="00A61637" w:rsidRPr="00821AAF">
        <w:rPr>
          <w:w w:val="105"/>
          <w:lang w:bidi="es-US"/>
        </w:rPr>
        <w:t>,</w:t>
      </w:r>
      <w:r w:rsidRPr="004670BE">
        <w:rPr>
          <w:rFonts w:eastAsia="Times New Roman" w:cstheme="minorHAnsi"/>
          <w:szCs w:val="22"/>
          <w:lang w:bidi="es-US"/>
        </w:rPr>
        <w:t xml:space="preserve"> en la que solicitaba comentarios de devolución sobre los servicios de pares en cada zona de influencia para conocer mejor las necesidades de cada región.</w:t>
      </w:r>
    </w:p>
    <w:p w14:paraId="2BA9614A" w14:textId="77777777" w:rsidR="00E047F5" w:rsidRPr="004670BE" w:rsidRDefault="00E047F5" w:rsidP="00BD57BF">
      <w:pPr>
        <w:spacing w:after="0" w:line="240" w:lineRule="auto"/>
        <w:jc w:val="both"/>
        <w:rPr>
          <w:rFonts w:eastAsia="Times New Roman" w:cstheme="minorHAnsi"/>
          <w:szCs w:val="22"/>
        </w:rPr>
      </w:pPr>
    </w:p>
    <w:p w14:paraId="28D72CC2" w14:textId="13D16441" w:rsidR="00BD27D9" w:rsidRPr="004670BE" w:rsidRDefault="00E047F5" w:rsidP="00BD57BF">
      <w:pPr>
        <w:spacing w:after="0" w:line="240" w:lineRule="auto"/>
        <w:jc w:val="both"/>
        <w:rPr>
          <w:rFonts w:eastAsia="Times New Roman" w:cstheme="minorHAnsi"/>
          <w:szCs w:val="22"/>
        </w:rPr>
      </w:pPr>
      <w:r w:rsidRPr="004670BE">
        <w:rPr>
          <w:rFonts w:eastAsia="Times New Roman" w:cstheme="minorHAnsi"/>
          <w:szCs w:val="22"/>
          <w:lang w:bidi="es-US"/>
        </w:rPr>
        <w:t xml:space="preserve">El 7 de mayo, la DMH/DD/SUS anunció una inversión de $1.35 millones para empezar a poner a prueba modelos de móviles con enfoque en el trauma y de respuesta conjunta en situaciones de crisis.  Estos servicios </w:t>
      </w:r>
      <w:r w:rsidR="0031555C" w:rsidRPr="004670BE">
        <w:rPr>
          <w:rFonts w:eastAsia="Times New Roman" w:cstheme="minorHAnsi"/>
          <w:szCs w:val="22"/>
          <w:lang w:bidi="es-US"/>
        </w:rPr>
        <w:t>in</w:t>
      </w:r>
      <w:r w:rsidR="00EF3F6F" w:rsidRPr="004670BE">
        <w:rPr>
          <w:rFonts w:eastAsia="Times New Roman" w:cstheme="minorHAnsi"/>
          <w:szCs w:val="22"/>
          <w:lang w:bidi="es-US"/>
        </w:rPr>
        <w:t>cluyen</w:t>
      </w:r>
      <w:r w:rsidR="0031555C" w:rsidRPr="004670BE">
        <w:rPr>
          <w:rFonts w:eastAsia="Times New Roman" w:cstheme="minorHAnsi"/>
          <w:szCs w:val="22"/>
          <w:lang w:bidi="es-US"/>
        </w:rPr>
        <w:t xml:space="preserve"> </w:t>
      </w:r>
      <w:r w:rsidRPr="004670BE">
        <w:rPr>
          <w:rFonts w:eastAsia="Times New Roman" w:cstheme="minorHAnsi"/>
          <w:szCs w:val="22"/>
          <w:lang w:bidi="es-US"/>
        </w:rPr>
        <w:t xml:space="preserve">el despliegue de equipos especializados formados por consejeros y pares para responder a las personas que enfrentan una crisis de salud conductual y proporcionarles apoyo.  El énfasis </w:t>
      </w:r>
      <w:r w:rsidRPr="004670BE">
        <w:rPr>
          <w:rFonts w:eastAsia="Times New Roman" w:cstheme="minorHAnsi"/>
          <w:szCs w:val="22"/>
          <w:lang w:bidi="es-US"/>
        </w:rPr>
        <w:lastRenderedPageBreak/>
        <w:t xml:space="preserve">en la desescalada servirá para reducir las visitas innecesarias a los departamentos de emergencias y el encarcelamiento de personas en crisis.  Además, la División anunció nuevas inversiones significativas para la ampliación de los centros de crisis, que </w:t>
      </w:r>
      <w:r w:rsidR="009228B7" w:rsidRPr="004670BE">
        <w:rPr>
          <w:rFonts w:cstheme="minorHAnsi"/>
          <w:color w:val="212529"/>
          <w:szCs w:val="22"/>
          <w:lang w:bidi="es-US"/>
        </w:rPr>
        <w:t>apoyarán cinco nuevos centros comunitarios de crisis para adultos en los condados de Alamance, Forsyth, New Hanover, Pitt y Vance, y tres nuevos centros comunitarios de crisis para niños en los condados de Gaston, Pitt y Vance. Estos centros ofrecen estabilización de la salud mental y desintoxicación frente a</w:t>
      </w:r>
      <w:r w:rsidR="002B6E6E" w:rsidRPr="004670BE">
        <w:rPr>
          <w:rFonts w:cstheme="minorHAnsi"/>
          <w:color w:val="212529"/>
          <w:szCs w:val="22"/>
          <w:lang w:bidi="es-US"/>
        </w:rPr>
        <w:t>l</w:t>
      </w:r>
      <w:r w:rsidR="009228B7" w:rsidRPr="004670BE">
        <w:rPr>
          <w:rFonts w:cstheme="minorHAnsi"/>
          <w:color w:val="212529"/>
          <w:szCs w:val="22"/>
          <w:lang w:bidi="es-US"/>
        </w:rPr>
        <w:t xml:space="preserve"> </w:t>
      </w:r>
      <w:r w:rsidR="000678CA" w:rsidRPr="004670BE">
        <w:rPr>
          <w:rFonts w:cstheme="minorHAnsi"/>
          <w:color w:val="212529"/>
          <w:szCs w:val="22"/>
          <w:lang w:bidi="es-US"/>
        </w:rPr>
        <w:t>uso</w:t>
      </w:r>
      <w:r w:rsidR="002B6E6E" w:rsidRPr="004670BE">
        <w:rPr>
          <w:rFonts w:cstheme="minorHAnsi"/>
          <w:color w:val="212529"/>
          <w:szCs w:val="22"/>
          <w:lang w:bidi="es-US"/>
        </w:rPr>
        <w:t xml:space="preserve"> </w:t>
      </w:r>
      <w:r w:rsidR="009228B7" w:rsidRPr="004670BE">
        <w:rPr>
          <w:rFonts w:cstheme="minorHAnsi"/>
          <w:color w:val="212529"/>
          <w:szCs w:val="22"/>
          <w:lang w:bidi="es-US"/>
        </w:rPr>
        <w:t xml:space="preserve">de sustancias en hospitalizaciones de corta duración a personas de la comunidad que, de otro modo, tendrían que acudir a un hospital. Con la nueva inversión, habrá 60 camas adicionales para adultos y 44 para niños, lo que aumenta la capacidad estatal de estabilización comunitaria en casos de crisis en un 20%. El Departamento se asoció con los planes personalizados para seleccionar las ubicaciones en función de varios criterios, incluidos los datos regionales sobre la cantidad de personas que esperan atención médica conductual en los departamentos de emergencias y la proximidad del centro a otros servicios comunitarios de salud conductual que ayudarían a las personas a regresar exitosamente a casa con atención y servicios integrales. Los nuevos centros se unirán a una red de 24 centros de crisis en otros 22 condados del estado. Además, la DMH/DD/SUS está trabajando activamente en la mejora de la calidad de los centros de tratamiento residencial psiquiátrico para jóvenes, realizó cuatro visitas a los centros este trimestre y está trabajando en la mejora de los informes de datos, la adhesión a las mejores prácticas y la reducción de las denegaciones de tratamiento. </w:t>
      </w:r>
    </w:p>
    <w:p w14:paraId="7C742485" w14:textId="65182B31" w:rsidR="00F54CB3" w:rsidRPr="004670BE" w:rsidRDefault="00F54CB3" w:rsidP="00BD57BF">
      <w:pPr>
        <w:spacing w:after="0" w:line="240" w:lineRule="auto"/>
        <w:jc w:val="both"/>
        <w:rPr>
          <w:rFonts w:eastAsia="Times New Roman" w:cstheme="minorHAnsi"/>
          <w:szCs w:val="22"/>
        </w:rPr>
      </w:pPr>
    </w:p>
    <w:p w14:paraId="6473695C" w14:textId="62FFDBA4" w:rsidR="00EF4AE8" w:rsidRPr="004670BE" w:rsidRDefault="00EF4AE8" w:rsidP="00BD57BF">
      <w:pPr>
        <w:spacing w:after="0" w:line="240" w:lineRule="auto"/>
        <w:jc w:val="both"/>
      </w:pPr>
      <w:r w:rsidRPr="004670BE">
        <w:rPr>
          <w:rFonts w:eastAsia="Times New Roman" w:cstheme="minorHAnsi"/>
          <w:szCs w:val="22"/>
          <w:lang w:bidi="es-US"/>
        </w:rPr>
        <w:t>El contrato estatal de coordinación de la transición Money Follows the Person (MFP) se le concedió a Vaya el 20 de junio de 2023.  Este contrato ofrece servicios de coordinación de la transición en todo el estado para que los adultos mayores y los adultos con discapacidad</w:t>
      </w:r>
      <w:r w:rsidR="000A029B" w:rsidRPr="004670BE">
        <w:rPr>
          <w:rFonts w:eastAsia="Times New Roman" w:cstheme="minorHAnsi"/>
          <w:szCs w:val="22"/>
          <w:lang w:bidi="es-US"/>
        </w:rPr>
        <w:t>es</w:t>
      </w:r>
      <w:r w:rsidRPr="004670BE">
        <w:rPr>
          <w:rFonts w:eastAsia="Times New Roman" w:cstheme="minorHAnsi"/>
          <w:szCs w:val="22"/>
          <w:lang w:bidi="es-US"/>
        </w:rPr>
        <w:t xml:space="preserve"> física</w:t>
      </w:r>
      <w:r w:rsidR="000A029B" w:rsidRPr="004670BE">
        <w:rPr>
          <w:rFonts w:eastAsia="Times New Roman" w:cstheme="minorHAnsi"/>
          <w:szCs w:val="22"/>
          <w:lang w:bidi="es-US"/>
        </w:rPr>
        <w:t>s</w:t>
      </w:r>
      <w:r w:rsidRPr="004670BE">
        <w:rPr>
          <w:rFonts w:eastAsia="Times New Roman" w:cstheme="minorHAnsi"/>
          <w:szCs w:val="22"/>
          <w:lang w:bidi="es-US"/>
        </w:rPr>
        <w:t xml:space="preserve"> que reúnan los requisitos puedan realizar la transición de centros de cuidados a largo plazo cualificados a arreglos de vida comunitarios, así como participar en actividades de acercamiento y educación con posibles participantes en MFP, familiares, personas y organizaciones relacionadas con el proceso de transición, y partes interesadas de todo el estado que apoyen la transición de una persona a un entorno </w:t>
      </w:r>
      <w:r w:rsidR="008B38F8" w:rsidRPr="004670BE">
        <w:rPr>
          <w:rFonts w:eastAsia="Times New Roman" w:cstheme="minorHAnsi"/>
          <w:szCs w:val="22"/>
          <w:lang w:bidi="es-US"/>
        </w:rPr>
        <w:t xml:space="preserve">basado en el hogar </w:t>
      </w:r>
      <w:r w:rsidRPr="004670BE">
        <w:rPr>
          <w:rFonts w:eastAsia="Times New Roman" w:cstheme="minorHAnsi"/>
          <w:szCs w:val="22"/>
          <w:lang w:bidi="es-US"/>
        </w:rPr>
        <w:t>y comunitario</w:t>
      </w:r>
      <w:r w:rsidRPr="004670BE">
        <w:rPr>
          <w:lang w:bidi="es-US"/>
        </w:rPr>
        <w:t>. La coordinación de la transición se iniciará oficialmente en septiembre.</w:t>
      </w:r>
    </w:p>
    <w:p w14:paraId="5E27F7F8" w14:textId="77777777" w:rsidR="00D20CF9" w:rsidRPr="004670BE" w:rsidRDefault="00D20CF9" w:rsidP="00BD57BF">
      <w:pPr>
        <w:spacing w:after="0" w:line="240" w:lineRule="auto"/>
        <w:jc w:val="both"/>
      </w:pPr>
    </w:p>
    <w:p w14:paraId="39C4BE92" w14:textId="0C9A0E1B" w:rsidR="00BB7C37" w:rsidRPr="004670BE" w:rsidRDefault="00674055" w:rsidP="00BD57BF">
      <w:pPr>
        <w:spacing w:after="0" w:line="240" w:lineRule="auto"/>
        <w:jc w:val="both"/>
      </w:pPr>
      <w:r w:rsidRPr="004670BE">
        <w:rPr>
          <w:lang w:bidi="es-US"/>
        </w:rPr>
        <w:t xml:space="preserve">La División de Centros </w:t>
      </w:r>
      <w:r w:rsidR="00706ED5" w:rsidRPr="004670BE">
        <w:rPr>
          <w:lang w:bidi="es-US"/>
        </w:rPr>
        <w:t xml:space="preserve">de Salud </w:t>
      </w:r>
      <w:r w:rsidRPr="004670BE">
        <w:rPr>
          <w:lang w:bidi="es-US"/>
        </w:rPr>
        <w:t xml:space="preserve">Dirigidos por el Estado (Division of State Operated Healthcare Facilities, DSOHF) de Carolina del Norte está trabajando para que todas las personas bajo un memorando de acuerdo (Memorandum Of Agreement, MOA) vuelvan a la comunidad en un plazo especificado y ha avanzado en varias áreas para concretar este objetivo: grupos de trabajo de personal activo para abordar los obstáculos al alta, desarrollo de herramientas para utilizar en la planificación de la transición y reuniones mensuales de coordinadores de transición. Además, se han asociado con MFP para desarrollar una serie educativa sobre la toma de decisiones con apoyo para responsables legales con el fin de promover la elección de la vida independiente. En este trimestre, se impartieron dos cursos de formación para nuevos empleados, se cargó un módulo en el sistema de gestión del aprendizaje (Learning Management System, LMS) y se han celebrado jornadas de oficina.  Además de la serie de formación del personal, ofrecieron formación comunitaria y una serie de formación clínica NC Start. </w:t>
      </w:r>
    </w:p>
    <w:p w14:paraId="7AAEBA59" w14:textId="77777777" w:rsidR="00BB7C37" w:rsidRPr="004670BE" w:rsidRDefault="00BB7C37" w:rsidP="00BD57BF">
      <w:pPr>
        <w:spacing w:after="0" w:line="240" w:lineRule="auto"/>
        <w:jc w:val="both"/>
      </w:pPr>
    </w:p>
    <w:p w14:paraId="61FACA45" w14:textId="657C0D36" w:rsidR="007073BD" w:rsidRPr="004670BE" w:rsidRDefault="00674055" w:rsidP="00BD57BF">
      <w:pPr>
        <w:spacing w:after="0" w:line="240" w:lineRule="auto"/>
        <w:jc w:val="both"/>
      </w:pPr>
      <w:r w:rsidRPr="004670BE">
        <w:rPr>
          <w:lang w:bidi="es-US"/>
        </w:rPr>
        <w:t xml:space="preserve">En julio de 2023, el Departamento de Servicios Sociales (Department of Social Services, DSS) de Carolina del Norte se fijó el objetivo quinquenal de colocar a más niños de acogida con familiares y en colocaciones de acogida familiar con licencia. En abril de 2024 había 1,669 niños de cuidado de acogida en colocaciones beneficiarias del programa de acogida familiar sin licencia y 4,983 niños de cuidado de acogida en colocaciones de familiares (consanguíneos y no consanguíneos). Han conseguido promover el objetivo de que los niños permanezcan con sus familias a través de numerosos esfuerzos, que incluyen los siguientes: </w:t>
      </w:r>
    </w:p>
    <w:p w14:paraId="39E057E5" w14:textId="5566C0AF" w:rsidR="007073BD" w:rsidRPr="004670BE" w:rsidRDefault="007073BD" w:rsidP="00BD57BF">
      <w:pPr>
        <w:pStyle w:val="ListParagraph"/>
        <w:numPr>
          <w:ilvl w:val="0"/>
          <w:numId w:val="36"/>
        </w:numPr>
        <w:spacing w:after="0" w:line="240" w:lineRule="auto"/>
        <w:jc w:val="both"/>
      </w:pPr>
      <w:r w:rsidRPr="004670BE">
        <w:rPr>
          <w:lang w:bidi="es-US"/>
        </w:rPr>
        <w:t>Lanzamiento de una solicitud de propuestas para un curso de formación en búsqueda y participación familiar destinado al personal de bienestar infantil</w:t>
      </w:r>
    </w:p>
    <w:p w14:paraId="6E98BC70" w14:textId="6D2EAAF4" w:rsidR="007073BD" w:rsidRPr="004670BE" w:rsidRDefault="007073BD" w:rsidP="00BD57BF">
      <w:pPr>
        <w:pStyle w:val="ListParagraph"/>
        <w:numPr>
          <w:ilvl w:val="0"/>
          <w:numId w:val="36"/>
        </w:numPr>
        <w:spacing w:after="0" w:line="240" w:lineRule="auto"/>
        <w:jc w:val="both"/>
      </w:pPr>
      <w:r w:rsidRPr="004670BE">
        <w:rPr>
          <w:lang w:bidi="es-US"/>
        </w:rPr>
        <w:lastRenderedPageBreak/>
        <w:t xml:space="preserve">Publicación de recursos relacionados con el parentesco en NC Blueprint </w:t>
      </w:r>
    </w:p>
    <w:p w14:paraId="74820321" w14:textId="32615671" w:rsidR="007073BD" w:rsidRPr="004670BE" w:rsidRDefault="007073BD" w:rsidP="00BD57BF">
      <w:pPr>
        <w:pStyle w:val="ListParagraph"/>
        <w:numPr>
          <w:ilvl w:val="0"/>
          <w:numId w:val="36"/>
        </w:numPr>
        <w:spacing w:after="0" w:line="240" w:lineRule="auto"/>
        <w:jc w:val="both"/>
      </w:pPr>
      <w:r w:rsidRPr="004670BE">
        <w:rPr>
          <w:lang w:bidi="es-US"/>
        </w:rPr>
        <w:t>Supervisión de un plan de mejora continua de la calidad del parentesco y revisión periódica de los datos sobre el estado de progreso de los objetivos.</w:t>
      </w:r>
    </w:p>
    <w:p w14:paraId="3ABEFF4D" w14:textId="5B3DF402" w:rsidR="007073BD" w:rsidRPr="004670BE" w:rsidRDefault="007073BD" w:rsidP="00BD57BF">
      <w:pPr>
        <w:pStyle w:val="ListParagraph"/>
        <w:numPr>
          <w:ilvl w:val="0"/>
          <w:numId w:val="36"/>
        </w:numPr>
        <w:spacing w:after="0" w:line="240" w:lineRule="auto"/>
        <w:jc w:val="both"/>
      </w:pPr>
      <w:r w:rsidRPr="004670BE">
        <w:rPr>
          <w:lang w:bidi="es-US"/>
        </w:rPr>
        <w:t>Realización de sesiones de escucha de familiares para aprender de los familiares con experiencia vivida</w:t>
      </w:r>
    </w:p>
    <w:p w14:paraId="4C54FF9E" w14:textId="72C6CB16" w:rsidR="007073BD" w:rsidRPr="004670BE" w:rsidRDefault="007073BD" w:rsidP="00BD57BF">
      <w:pPr>
        <w:pStyle w:val="ListParagraph"/>
        <w:numPr>
          <w:ilvl w:val="0"/>
          <w:numId w:val="36"/>
        </w:numPr>
        <w:spacing w:after="0" w:line="240" w:lineRule="auto"/>
        <w:jc w:val="both"/>
      </w:pPr>
      <w:r w:rsidRPr="004670BE">
        <w:rPr>
          <w:lang w:bidi="es-US"/>
        </w:rPr>
        <w:t xml:space="preserve">Mejora del sitio web del NCDHHS sobre cuidado de parientes/familiares </w:t>
      </w:r>
    </w:p>
    <w:p w14:paraId="77014EC5" w14:textId="1BC90890" w:rsidR="00651FCE" w:rsidRPr="004670BE" w:rsidRDefault="007073BD" w:rsidP="00BD57BF">
      <w:pPr>
        <w:pStyle w:val="ListParagraph"/>
        <w:numPr>
          <w:ilvl w:val="0"/>
          <w:numId w:val="36"/>
        </w:numPr>
        <w:spacing w:after="0" w:line="240" w:lineRule="auto"/>
        <w:jc w:val="both"/>
        <w:rPr>
          <w:rFonts w:eastAsia="Times New Roman" w:cstheme="minorHAnsi"/>
          <w:szCs w:val="22"/>
        </w:rPr>
      </w:pPr>
      <w:r w:rsidRPr="004670BE">
        <w:rPr>
          <w:lang w:bidi="es-US"/>
        </w:rPr>
        <w:t>Realización de una campaña de concientización en los medios de comunicación</w:t>
      </w:r>
    </w:p>
    <w:p w14:paraId="0A5A4645" w14:textId="77777777" w:rsidR="00232ABB" w:rsidRPr="004670BE" w:rsidRDefault="00232ABB" w:rsidP="00BD57BF">
      <w:pPr>
        <w:pStyle w:val="ListParagraph"/>
        <w:numPr>
          <w:ilvl w:val="0"/>
          <w:numId w:val="0"/>
        </w:numPr>
        <w:spacing w:after="0" w:line="240" w:lineRule="auto"/>
        <w:ind w:left="720"/>
        <w:jc w:val="both"/>
        <w:rPr>
          <w:rFonts w:eastAsia="Times New Roman" w:cstheme="minorHAnsi"/>
          <w:szCs w:val="22"/>
        </w:rPr>
      </w:pPr>
    </w:p>
    <w:p w14:paraId="18F4AA17" w14:textId="0D1BC807" w:rsidR="00875112" w:rsidRPr="004670BE" w:rsidRDefault="00875112" w:rsidP="00BD57BF">
      <w:pPr>
        <w:spacing w:after="0"/>
        <w:jc w:val="both"/>
        <w:rPr>
          <w:rFonts w:cstheme="minorHAnsi"/>
          <w:b/>
          <w:i/>
          <w:color w:val="007FAA" w:themeColor="accent2"/>
          <w:sz w:val="24"/>
        </w:rPr>
      </w:pPr>
      <w:r w:rsidRPr="004670BE">
        <w:rPr>
          <w:rFonts w:cstheme="minorHAnsi"/>
          <w:b/>
          <w:i/>
          <w:color w:val="007FAA" w:themeColor="accent2"/>
          <w:sz w:val="24"/>
          <w:lang w:bidi="es-US"/>
        </w:rPr>
        <w:t xml:space="preserve">Área prioritaria </w:t>
      </w:r>
      <w:r w:rsidR="002B25AF" w:rsidRPr="004670BE">
        <w:rPr>
          <w:rFonts w:cstheme="minorHAnsi"/>
          <w:b/>
          <w:i/>
          <w:color w:val="007FAA" w:themeColor="accent2"/>
          <w:sz w:val="24"/>
          <w:lang w:bidi="es-US"/>
        </w:rPr>
        <w:t>núm.</w:t>
      </w:r>
      <w:r w:rsidRPr="004670BE">
        <w:rPr>
          <w:rFonts w:cstheme="minorHAnsi"/>
          <w:b/>
          <w:i/>
          <w:color w:val="007FAA" w:themeColor="accent2"/>
          <w:sz w:val="24"/>
          <w:lang w:bidi="es-US"/>
        </w:rPr>
        <w:t> 3: Abordar las brechas de los servicios comunitarios</w:t>
      </w:r>
    </w:p>
    <w:p w14:paraId="6B08C9DB" w14:textId="7DD55A14" w:rsidR="00E236E4" w:rsidRPr="004670BE" w:rsidRDefault="00F07C44" w:rsidP="00BD57BF">
      <w:pPr>
        <w:pStyle w:val="NoSpacing"/>
        <w:jc w:val="both"/>
        <w:rPr>
          <w:rFonts w:cstheme="minorHAnsi"/>
          <w:bCs/>
          <w:spacing w:val="-4"/>
        </w:rPr>
      </w:pPr>
      <w:r w:rsidRPr="004670BE">
        <w:rPr>
          <w:rFonts w:cstheme="minorHAnsi"/>
          <w:spacing w:val="-4"/>
          <w:lang w:bidi="es-US"/>
        </w:rPr>
        <w:t xml:space="preserve">El Departamento de Servicios para Adultos (Department of Adult Services, DAS) de Carolina del Norte realiza numerosos esfuerzos para combatir el aislamiento de la población de adultos mayores y promover la conexión con los recursos comunitarios. En este trimestre, publicaron el kit de herramientas </w:t>
      </w:r>
      <w:r w:rsidR="003B1868">
        <w:rPr>
          <w:rFonts w:cstheme="minorHAnsi"/>
          <w:spacing w:val="-4"/>
          <w:lang w:bidi="es-US"/>
        </w:rPr>
        <w:t xml:space="preserve">del </w:t>
      </w:r>
      <w:r w:rsidR="00A172C3">
        <w:rPr>
          <w:rFonts w:cstheme="minorHAnsi"/>
          <w:spacing w:val="-4"/>
          <w:lang w:bidi="es-US"/>
        </w:rPr>
        <w:t>Navegador digital de acceso para personas de todas las edades (</w:t>
      </w:r>
      <w:r w:rsidRPr="004670BE">
        <w:rPr>
          <w:rFonts w:cstheme="minorHAnsi"/>
          <w:spacing w:val="-4"/>
          <w:lang w:bidi="es-US"/>
        </w:rPr>
        <w:t>Ageless Access Digital Navigator</w:t>
      </w:r>
      <w:r w:rsidR="00A172C3">
        <w:rPr>
          <w:rFonts w:cstheme="minorHAnsi"/>
          <w:spacing w:val="-4"/>
          <w:lang w:bidi="es-US"/>
        </w:rPr>
        <w:t>)</w:t>
      </w:r>
      <w:r w:rsidRPr="004670BE">
        <w:rPr>
          <w:rFonts w:cstheme="minorHAnsi"/>
          <w:spacing w:val="-4"/>
          <w:lang w:bidi="es-US"/>
        </w:rPr>
        <w:t xml:space="preserve"> como parte de su serie de participación virtual en colaboración con centros de personas mayores y </w:t>
      </w:r>
      <w:r w:rsidR="001B6BE9" w:rsidRPr="00A465D7">
        <w:rPr>
          <w:spacing w:val="-2"/>
          <w:lang w:bidi="es-US"/>
        </w:rPr>
        <w:t>Agencias de Área sobre Envejecimiento (Area Agencies on Aging, AAA)</w:t>
      </w:r>
      <w:r w:rsidRPr="004670BE">
        <w:rPr>
          <w:rFonts w:cstheme="minorHAnsi"/>
          <w:spacing w:val="-4"/>
          <w:lang w:bidi="es-US"/>
        </w:rPr>
        <w:t xml:space="preserve">. Además, el DAS amplió su alcance a través de las redes sociales y publicó nuevos recursos sobre fraudes y estafas. </w:t>
      </w:r>
    </w:p>
    <w:p w14:paraId="44644690" w14:textId="55F3E4D8" w:rsidR="00B43E5F" w:rsidRPr="004670BE" w:rsidRDefault="00B43E5F" w:rsidP="00BD57BF">
      <w:pPr>
        <w:pStyle w:val="NoSpacing"/>
        <w:jc w:val="both"/>
        <w:rPr>
          <w:rFonts w:cstheme="minorHAnsi"/>
          <w:bCs/>
          <w:spacing w:val="-4"/>
        </w:rPr>
      </w:pPr>
    </w:p>
    <w:p w14:paraId="608CD1FC" w14:textId="7CEDB18A" w:rsidR="00A11341" w:rsidRPr="004670BE" w:rsidRDefault="00B43E5F" w:rsidP="00BD57BF">
      <w:pPr>
        <w:pStyle w:val="NoSpacing"/>
        <w:jc w:val="both"/>
        <w:rPr>
          <w:rFonts w:cstheme="minorHAnsi"/>
          <w:bCs/>
          <w:spacing w:val="-4"/>
        </w:rPr>
      </w:pPr>
      <w:r w:rsidRPr="004670BE">
        <w:rPr>
          <w:rFonts w:cstheme="minorHAnsi"/>
          <w:spacing w:val="-4"/>
          <w:lang w:bidi="es-US"/>
        </w:rPr>
        <w:t>La DCFW ha estado trabajando para mejorar la oferta de servicios comunitarios de calidad para niños y jóvenes en todo el estado, y redujo la necesidad de ingresos a PRTF.  En este trimestre, finalizaron un contrato con un nuevo proveedor, Rapid Resources</w:t>
      </w:r>
      <w:r w:rsidR="00AF4411" w:rsidRPr="004670BE">
        <w:rPr>
          <w:rFonts w:cstheme="minorHAnsi"/>
          <w:spacing w:val="-4"/>
          <w:lang w:bidi="es-US"/>
        </w:rPr>
        <w:t xml:space="preserve"> </w:t>
      </w:r>
      <w:r w:rsidR="00AF4411" w:rsidRPr="004670BE">
        <w:rPr>
          <w:lang w:bidi="es-US"/>
        </w:rPr>
        <w:t>(</w:t>
      </w:r>
      <w:r w:rsidR="00AF4411" w:rsidRPr="004670BE">
        <w:rPr>
          <w:i/>
          <w:iCs/>
          <w:lang w:bidi="es-US"/>
        </w:rPr>
        <w:t>Recursos rápidos</w:t>
      </w:r>
      <w:r w:rsidR="00AF4411" w:rsidRPr="004670BE">
        <w:rPr>
          <w:lang w:bidi="es-US"/>
        </w:rPr>
        <w:t>)</w:t>
      </w:r>
      <w:r w:rsidRPr="004670BE">
        <w:rPr>
          <w:rFonts w:cstheme="minorHAnsi"/>
          <w:spacing w:val="-4"/>
          <w:lang w:bidi="es-US"/>
        </w:rPr>
        <w:t xml:space="preserve">, para el </w:t>
      </w:r>
      <w:r w:rsidR="00C669CE" w:rsidRPr="004670BE">
        <w:rPr>
          <w:lang w:bidi="es-US"/>
        </w:rPr>
        <w:t>tratamiento intensivo alternativo para las familias</w:t>
      </w:r>
      <w:r w:rsidR="00053035" w:rsidRPr="004670BE">
        <w:rPr>
          <w:lang w:bidi="es-US"/>
        </w:rPr>
        <w:t>,</w:t>
      </w:r>
      <w:r w:rsidR="00C669CE" w:rsidRPr="004670BE">
        <w:rPr>
          <w:rFonts w:cstheme="minorHAnsi"/>
          <w:spacing w:val="-4"/>
          <w:lang w:bidi="es-US"/>
        </w:rPr>
        <w:t xml:space="preserve"> </w:t>
      </w:r>
      <w:r w:rsidRPr="004670BE">
        <w:rPr>
          <w:rFonts w:cstheme="minorHAnsi"/>
          <w:spacing w:val="-4"/>
          <w:lang w:bidi="es-US"/>
        </w:rPr>
        <w:t xml:space="preserve">Intensive Alternative Family Treatment (IAFT), que promoverá respuestas comunitarias para jóvenes que, de otro modo, serían </w:t>
      </w:r>
      <w:r w:rsidR="00610C30" w:rsidRPr="004670BE">
        <w:rPr>
          <w:rFonts w:cstheme="minorHAnsi"/>
          <w:spacing w:val="-4"/>
          <w:lang w:bidi="es-US"/>
        </w:rPr>
        <w:t xml:space="preserve">admitidos </w:t>
      </w:r>
      <w:r w:rsidRPr="004670BE">
        <w:rPr>
          <w:rFonts w:cstheme="minorHAnsi"/>
          <w:spacing w:val="-4"/>
          <w:lang w:bidi="es-US"/>
        </w:rPr>
        <w:t xml:space="preserve">repetidamente, y para el cuidado de acogida terapéutico. La DCFW también amplió los condados que participan en la Línea de Acceso a Servicios Psiquiátricos de Carolina del Norte (North Carolina Psychiatry Access Line, NC-PAL), que es una línea de consulta en la que los pediatras y los médicos de atención primaria pueden consultar con psiquiatras para mejorar los diagnósticos y reducir la polifarmacia para los niños, lo que permite a los niños beneficiarse de una sólida experiencia psiquiátrica fuera de un entorno institucional.  </w:t>
      </w:r>
    </w:p>
    <w:p w14:paraId="37F997FA" w14:textId="76FFF434" w:rsidR="00A11341" w:rsidRPr="004670BE" w:rsidRDefault="00A11341" w:rsidP="00BD57BF">
      <w:pPr>
        <w:pStyle w:val="NoSpacing"/>
        <w:jc w:val="both"/>
        <w:rPr>
          <w:rFonts w:cstheme="minorHAnsi"/>
          <w:bCs/>
          <w:spacing w:val="-4"/>
        </w:rPr>
      </w:pPr>
      <w:r w:rsidRPr="004670BE">
        <w:rPr>
          <w:rFonts w:cstheme="minorHAnsi"/>
          <w:spacing w:val="-4"/>
          <w:lang w:bidi="es-US"/>
        </w:rPr>
        <w:t xml:space="preserve">La DMH/DD/SUS reconoce la importancia de contar con una sólida estabilización comunitaria para crisis y ha invertido más de $30 millones en </w:t>
      </w:r>
      <w:r w:rsidR="00B036BE" w:rsidRPr="004670BE">
        <w:rPr>
          <w:rFonts w:cstheme="minorHAnsi"/>
          <w:spacing w:val="-4"/>
          <w:lang w:bidi="es-US"/>
        </w:rPr>
        <w:t>C</w:t>
      </w:r>
      <w:r w:rsidRPr="004670BE">
        <w:rPr>
          <w:rFonts w:cstheme="minorHAnsi"/>
          <w:spacing w:val="-4"/>
          <w:lang w:bidi="es-US"/>
        </w:rPr>
        <w:t xml:space="preserve">entros de </w:t>
      </w:r>
      <w:r w:rsidR="00B036BE" w:rsidRPr="004670BE">
        <w:rPr>
          <w:rFonts w:cstheme="minorHAnsi"/>
          <w:spacing w:val="-4"/>
          <w:lang w:bidi="es-US"/>
        </w:rPr>
        <w:t>A</w:t>
      </w:r>
      <w:r w:rsidRPr="004670BE">
        <w:rPr>
          <w:rFonts w:cstheme="minorHAnsi"/>
          <w:spacing w:val="-4"/>
          <w:lang w:bidi="es-US"/>
        </w:rPr>
        <w:t xml:space="preserve">tención </w:t>
      </w:r>
      <w:r w:rsidR="00B036BE" w:rsidRPr="004670BE">
        <w:rPr>
          <w:rFonts w:cstheme="minorHAnsi"/>
          <w:spacing w:val="-4"/>
          <w:lang w:bidi="es-US"/>
        </w:rPr>
        <w:t>U</w:t>
      </w:r>
      <w:r w:rsidRPr="004670BE">
        <w:rPr>
          <w:rFonts w:cstheme="minorHAnsi"/>
          <w:spacing w:val="-4"/>
          <w:lang w:bidi="es-US"/>
        </w:rPr>
        <w:t xml:space="preserve">rgente de </w:t>
      </w:r>
      <w:r w:rsidR="00B036BE" w:rsidRPr="004670BE">
        <w:rPr>
          <w:rFonts w:cstheme="minorHAnsi"/>
          <w:spacing w:val="-4"/>
          <w:lang w:bidi="es-US"/>
        </w:rPr>
        <w:t>S</w:t>
      </w:r>
      <w:r w:rsidRPr="004670BE">
        <w:rPr>
          <w:rFonts w:cstheme="minorHAnsi"/>
          <w:spacing w:val="-4"/>
          <w:lang w:bidi="es-US"/>
        </w:rPr>
        <w:t xml:space="preserve">alud </w:t>
      </w:r>
      <w:r w:rsidR="00B036BE" w:rsidRPr="004670BE">
        <w:rPr>
          <w:rFonts w:cstheme="minorHAnsi"/>
          <w:spacing w:val="-4"/>
          <w:lang w:bidi="es-US"/>
        </w:rPr>
        <w:t>C</w:t>
      </w:r>
      <w:r w:rsidRPr="004670BE">
        <w:rPr>
          <w:rFonts w:cstheme="minorHAnsi"/>
          <w:spacing w:val="-4"/>
          <w:lang w:bidi="es-US"/>
        </w:rPr>
        <w:t xml:space="preserve">onductual (Behavioral Health Urgent Care, BHUC) y en programas para situaciones de crisis basados en centros, y está trabajando en crear mensajes coherentes para campañas de concientización de todo el estado. </w:t>
      </w:r>
    </w:p>
    <w:p w14:paraId="518E3B89" w14:textId="77777777" w:rsidR="00E24565" w:rsidRPr="004670BE" w:rsidRDefault="00E24565" w:rsidP="00BD57BF">
      <w:pPr>
        <w:pStyle w:val="NoSpacing"/>
        <w:jc w:val="both"/>
        <w:rPr>
          <w:rFonts w:cstheme="minorHAnsi"/>
          <w:bCs/>
          <w:spacing w:val="-4"/>
        </w:rPr>
      </w:pPr>
    </w:p>
    <w:p w14:paraId="79585C2E" w14:textId="5448747D" w:rsidR="00D17F74" w:rsidRPr="004670BE" w:rsidRDefault="00875112" w:rsidP="00BD57BF">
      <w:pPr>
        <w:pStyle w:val="Heading4"/>
        <w:jc w:val="both"/>
        <w:rPr>
          <w:rFonts w:cstheme="minorHAnsi"/>
        </w:rPr>
      </w:pPr>
      <w:r w:rsidRPr="004670BE">
        <w:rPr>
          <w:rFonts w:cstheme="minorHAnsi"/>
          <w:lang w:bidi="es-US"/>
        </w:rPr>
        <w:t xml:space="preserve">Área prioritaria </w:t>
      </w:r>
      <w:r w:rsidR="002B25AF" w:rsidRPr="004670BE">
        <w:rPr>
          <w:rFonts w:cstheme="minorHAnsi"/>
          <w:lang w:bidi="es-US"/>
        </w:rPr>
        <w:t>núm.</w:t>
      </w:r>
      <w:r w:rsidRPr="004670BE">
        <w:rPr>
          <w:rFonts w:cstheme="minorHAnsi"/>
          <w:lang w:bidi="es-US"/>
        </w:rPr>
        <w:t> 4: Aumentar las oportunidades de servicios de transición previa al empleo para jóvenes con discapacidad</w:t>
      </w:r>
      <w:r w:rsidR="00C85E93" w:rsidRPr="004670BE">
        <w:rPr>
          <w:rFonts w:cstheme="minorHAnsi"/>
          <w:lang w:bidi="es-US"/>
        </w:rPr>
        <w:t>es</w:t>
      </w:r>
      <w:r w:rsidRPr="004670BE">
        <w:rPr>
          <w:rFonts w:cstheme="minorHAnsi"/>
          <w:lang w:bidi="es-US"/>
        </w:rPr>
        <w:t xml:space="preserve"> y de empleo competitivo integrado para adultos con discapacidad</w:t>
      </w:r>
      <w:r w:rsidR="00AF1735" w:rsidRPr="004670BE">
        <w:rPr>
          <w:rFonts w:cstheme="minorHAnsi"/>
          <w:lang w:bidi="es-US"/>
        </w:rPr>
        <w:t>es</w:t>
      </w:r>
    </w:p>
    <w:p w14:paraId="6215E736" w14:textId="3F4AAE35" w:rsidR="008B0F2C" w:rsidRPr="004670BE" w:rsidRDefault="008B37E4" w:rsidP="00BD57BF">
      <w:pPr>
        <w:jc w:val="both"/>
      </w:pPr>
      <w:r w:rsidRPr="004670BE">
        <w:rPr>
          <w:lang w:bidi="es-US"/>
        </w:rPr>
        <w:t>La División de Empleo e Independencia para Personas con Discapacidad</w:t>
      </w:r>
      <w:r w:rsidR="00AF1735" w:rsidRPr="004670BE">
        <w:rPr>
          <w:lang w:bidi="es-US"/>
        </w:rPr>
        <w:t>es</w:t>
      </w:r>
      <w:r w:rsidRPr="004670BE">
        <w:rPr>
          <w:lang w:bidi="es-US"/>
        </w:rPr>
        <w:t xml:space="preserve"> (Division of Employment and Independence for People with Disabilities, EIPD) tiene iniciativas en varias áreas para promover los servicios de transición previos al empleo para jóvenes, en este sentido, se establecieron más de 83 acuerdos con escuelas públicas para ofrecer servicios de rehabilitación vocacional para estudiantes con discapacidad; también se asoció con el Departamento de Instrucción Pública (Department of Public Instruction, DPI) de Carolina del Norte para promover los servicios vocacionales y de transición para estudiantes con discapacidad</w:t>
      </w:r>
      <w:r w:rsidR="003011F9" w:rsidRPr="004670BE">
        <w:rPr>
          <w:lang w:bidi="es-US"/>
        </w:rPr>
        <w:t>es</w:t>
      </w:r>
      <w:r w:rsidRPr="004670BE">
        <w:rPr>
          <w:lang w:bidi="es-US"/>
        </w:rPr>
        <w:t xml:space="preserve">. En este trimestre, se reunieron con 11 equipos de transición para proporcionar información y recursos sobre los servicios disponibles. En mayo la EIPD lanzó una subvención para nuevos proveedores de servicios de transición previos al empleo (pre- Employment Transition Services, pre-ETS). En esta sesión legislativa, a través de una asociación con Work Together NC y Post-Secondary Education Alliance, la EIPD recibió fondos generales del estado para colocar un gestor de casos </w:t>
      </w:r>
      <w:r w:rsidRPr="004670BE">
        <w:rPr>
          <w:lang w:bidi="es-US"/>
        </w:rPr>
        <w:lastRenderedPageBreak/>
        <w:t>en seis universidades comunitarias que proporcione servicios de rehabilitación para los estudiantes con discapacidad</w:t>
      </w:r>
      <w:r w:rsidR="00A273AB" w:rsidRPr="004670BE">
        <w:rPr>
          <w:lang w:bidi="es-US"/>
        </w:rPr>
        <w:t>es</w:t>
      </w:r>
      <w:r w:rsidRPr="004670BE">
        <w:rPr>
          <w:lang w:bidi="es-US"/>
        </w:rPr>
        <w:t xml:space="preserve"> intelectual</w:t>
      </w:r>
      <w:r w:rsidR="00A273AB" w:rsidRPr="004670BE">
        <w:rPr>
          <w:lang w:bidi="es-US"/>
        </w:rPr>
        <w:t>es</w:t>
      </w:r>
      <w:r w:rsidRPr="004670BE">
        <w:rPr>
          <w:lang w:bidi="es-US"/>
        </w:rPr>
        <w:t>/del desarrollo (I/DD</w:t>
      </w:r>
      <w:r w:rsidR="009E7BBC" w:rsidRPr="004670BE">
        <w:rPr>
          <w:lang w:bidi="es-US"/>
        </w:rPr>
        <w:t>, por sus siglas en inglés</w:t>
      </w:r>
      <w:r w:rsidRPr="004670BE">
        <w:rPr>
          <w:lang w:bidi="es-US"/>
        </w:rPr>
        <w:t xml:space="preserve">). </w:t>
      </w:r>
    </w:p>
    <w:p w14:paraId="6B685488" w14:textId="7B9BD24C" w:rsidR="00244F9B" w:rsidRPr="004670BE" w:rsidRDefault="00244F9B" w:rsidP="00BD57BF">
      <w:pPr>
        <w:jc w:val="both"/>
      </w:pPr>
      <w:r w:rsidRPr="004670BE">
        <w:rPr>
          <w:lang w:bidi="es-US"/>
        </w:rPr>
        <w:t xml:space="preserve">La EIPD colabora estrechamente con Work Together NC para prestar otros servicios de transición a jóvenes y a adultos jóvenes con I/DD. </w:t>
      </w:r>
    </w:p>
    <w:p w14:paraId="19AF92F7" w14:textId="7AA9B427" w:rsidR="008B0F2C" w:rsidRPr="004670BE" w:rsidRDefault="008B0F2C" w:rsidP="00BD57BF">
      <w:pPr>
        <w:spacing w:after="0" w:line="240" w:lineRule="auto"/>
        <w:jc w:val="both"/>
      </w:pPr>
      <w:r w:rsidRPr="004670BE">
        <w:rPr>
          <w:lang w:bidi="es-US"/>
        </w:rPr>
        <w:t>El proyecto SPARK es un nuevo programa de empleo integrado competitivo diseñado para ayudar a las personas que</w:t>
      </w:r>
      <w:r w:rsidR="00BD57BF" w:rsidRPr="004670BE">
        <w:rPr>
          <w:lang w:bidi="es-US"/>
        </w:rPr>
        <w:t xml:space="preserve"> </w:t>
      </w:r>
      <w:r w:rsidR="00CA4047" w:rsidRPr="004670BE">
        <w:rPr>
          <w:lang w:bidi="es-US"/>
        </w:rPr>
        <w:t>participan en programas de trabajo protegido a pasar a un empleo integrado competitivo, les da a las personas con</w:t>
      </w:r>
      <w:r w:rsidR="00BD57BF" w:rsidRPr="004670BE">
        <w:rPr>
          <w:lang w:bidi="es-US"/>
        </w:rPr>
        <w:t xml:space="preserve"> </w:t>
      </w:r>
      <w:r w:rsidR="00CA4047" w:rsidRPr="004670BE">
        <w:rPr>
          <w:lang w:bidi="es-US"/>
        </w:rPr>
        <w:t>discapacidad</w:t>
      </w:r>
      <w:r w:rsidR="00E74337" w:rsidRPr="004670BE">
        <w:rPr>
          <w:lang w:bidi="es-US"/>
        </w:rPr>
        <w:t>es</w:t>
      </w:r>
      <w:r w:rsidR="00CA4047" w:rsidRPr="004670BE">
        <w:rPr>
          <w:lang w:bidi="es-US"/>
        </w:rPr>
        <w:t xml:space="preserve"> intelectual</w:t>
      </w:r>
      <w:r w:rsidR="00E74337" w:rsidRPr="004670BE">
        <w:rPr>
          <w:lang w:bidi="es-US"/>
        </w:rPr>
        <w:t>es</w:t>
      </w:r>
      <w:r w:rsidR="00CA4047" w:rsidRPr="004670BE">
        <w:rPr>
          <w:lang w:bidi="es-US"/>
        </w:rPr>
        <w:t xml:space="preserve"> y del desarrollo el apoyo que necesitan para poder trabajar en los tipos de trabajos que desean y les presta servicios a 29 personas, con </w:t>
      </w:r>
      <w:r w:rsidR="00504027" w:rsidRPr="004670BE">
        <w:rPr>
          <w:lang w:bidi="es-US"/>
        </w:rPr>
        <w:t>remisiones</w:t>
      </w:r>
      <w:r w:rsidR="00504027" w:rsidRPr="004670BE">
        <w:rPr>
          <w:lang w:bidi="es-US"/>
        </w:rPr>
        <w:t xml:space="preserve"> </w:t>
      </w:r>
      <w:r w:rsidR="00CA4047" w:rsidRPr="004670BE">
        <w:rPr>
          <w:lang w:bidi="es-US"/>
        </w:rPr>
        <w:t xml:space="preserve">continuas. </w:t>
      </w:r>
    </w:p>
    <w:p w14:paraId="5106732B" w14:textId="7F7D183A" w:rsidR="002020F5" w:rsidRPr="004670BE" w:rsidRDefault="002020F5" w:rsidP="00BD57BF">
      <w:pPr>
        <w:spacing w:after="0" w:line="240" w:lineRule="auto"/>
        <w:jc w:val="both"/>
      </w:pPr>
    </w:p>
    <w:p w14:paraId="34857DF0" w14:textId="6C9B6BCF" w:rsidR="00CA4047" w:rsidRPr="004670BE" w:rsidRDefault="002020F5" w:rsidP="00BD57BF">
      <w:pPr>
        <w:jc w:val="both"/>
        <w:rPr>
          <w:rFonts w:cstheme="minorHAnsi"/>
          <w:bCs/>
          <w:iCs/>
          <w:szCs w:val="22"/>
        </w:rPr>
      </w:pPr>
      <w:r w:rsidRPr="004670BE">
        <w:rPr>
          <w:rFonts w:cstheme="minorHAnsi"/>
          <w:szCs w:val="22"/>
          <w:lang w:bidi="es-US"/>
        </w:rPr>
        <w:t>En un esfuerzo por atraer y mantener el personal adecuado de consejeros de rehabilitación profesional, la EIPD ha estado trabajando estrechamente con Recursos Humanos (RR. HH.) para agilizar el proceso de incorporación. En marzo, RR. HH. presentó al Consejo Estatal de Rehabilitación sus estrategias para abordar esta necesidad fundamental, así como la necesidad de otro personal esencial.  Se han organizado campañas de contratación y ferias de empleo, y los posibles candidatos pueden postularse, hacer la entrevista y recibir una oferta contingente en el mismo día.</w:t>
      </w:r>
    </w:p>
    <w:p w14:paraId="554FA44F" w14:textId="5B7126B7" w:rsidR="00875112" w:rsidRPr="004670BE" w:rsidRDefault="00875112" w:rsidP="00BD57BF">
      <w:pPr>
        <w:pStyle w:val="Heading4"/>
        <w:jc w:val="both"/>
        <w:rPr>
          <w:rFonts w:cstheme="minorHAnsi"/>
        </w:rPr>
      </w:pPr>
      <w:r w:rsidRPr="004670BE">
        <w:rPr>
          <w:rFonts w:cstheme="minorHAnsi"/>
          <w:lang w:bidi="es-US"/>
        </w:rPr>
        <w:t xml:space="preserve">Área prioritaria </w:t>
      </w:r>
      <w:r w:rsidR="002B25AF" w:rsidRPr="004670BE">
        <w:rPr>
          <w:rFonts w:cstheme="minorHAnsi"/>
          <w:lang w:bidi="es-US"/>
        </w:rPr>
        <w:t>núm.</w:t>
      </w:r>
      <w:r w:rsidRPr="004670BE">
        <w:rPr>
          <w:rFonts w:cstheme="minorHAnsi"/>
          <w:lang w:bidi="es-US"/>
        </w:rPr>
        <w:t> 5: Reforzar las oportunidades de derivación y transición de personas del sistema de justicia penal que promuevan la permanencia y la reinserción satisfactoria en comunidades inclusivas</w:t>
      </w:r>
    </w:p>
    <w:p w14:paraId="101A418A" w14:textId="1EE71FB6" w:rsidR="009C5889" w:rsidRPr="004670BE" w:rsidRDefault="00146A35" w:rsidP="00BD57BF">
      <w:pPr>
        <w:spacing w:after="0" w:line="240" w:lineRule="auto"/>
        <w:jc w:val="both"/>
        <w:rPr>
          <w:rFonts w:ascii="Calibri" w:hAnsi="Calibri" w:cs="Calibri"/>
          <w:szCs w:val="22"/>
        </w:rPr>
      </w:pPr>
      <w:r w:rsidRPr="004670BE">
        <w:rPr>
          <w:rFonts w:eastAsia="Times New Roman" w:cstheme="minorHAnsi"/>
          <w:color w:val="000000"/>
          <w:szCs w:val="22"/>
          <w:lang w:bidi="es-US"/>
        </w:rPr>
        <w:t xml:space="preserve">La DMH/DD/SUS ha concedido un contrato de dos años a </w:t>
      </w:r>
      <w:r w:rsidR="00C5737E" w:rsidRPr="00821AAF">
        <w:rPr>
          <w:lang w:bidi="es-US"/>
        </w:rPr>
        <w:t>Alianza de Defensores de la Discapacidad de Carolina del Norte (Alliance of Disability Advocates of North Carolina, ADANC)</w:t>
      </w:r>
      <w:r w:rsidRPr="004670BE">
        <w:rPr>
          <w:rFonts w:eastAsia="Times New Roman" w:cstheme="minorHAnsi"/>
          <w:color w:val="000000"/>
          <w:szCs w:val="22"/>
          <w:lang w:bidi="es-US"/>
        </w:rPr>
        <w:t xml:space="preserve"> para continuar con éxito la transición de personas con I/DD desde el encarcelamiento, ampliando al mismo tiempo la iniciativa para incluir a personas con lesión cerebral traumática (Traumatic Brain Injury, TBI). Desde la ejecución del contrato en este trimestre, ADANC se reúne regularmente con el Centro de Asistencia Técnica de la Universidad de Carolina del Norte (University of North Carolina Technical Assistance Center, UNC TAC) para estandarizar los </w:t>
      </w:r>
      <w:r w:rsidRPr="004670BE">
        <w:rPr>
          <w:rFonts w:ascii="Calibri" w:eastAsia="Calibri" w:hAnsi="Calibri" w:cs="Calibri"/>
          <w:szCs w:val="22"/>
          <w:lang w:bidi="es-US"/>
        </w:rPr>
        <w:t xml:space="preserve">procesos y los documentos del programa de reinserción de I/DD y TBI, y la DMH/DD/SUS está en el proceso de elaboración de una declaración de trabajo para el componente de servicio de apoyo a la vivienda y la transición. </w:t>
      </w:r>
    </w:p>
    <w:p w14:paraId="0BAF5F28" w14:textId="77777777" w:rsidR="007F61E0" w:rsidRPr="004670BE" w:rsidRDefault="007F61E0" w:rsidP="00BD57BF">
      <w:pPr>
        <w:spacing w:after="0" w:line="240" w:lineRule="auto"/>
        <w:jc w:val="both"/>
        <w:rPr>
          <w:rFonts w:ascii="Arial" w:eastAsia="Times New Roman" w:hAnsi="Arial" w:cs="Arial"/>
          <w:color w:val="000000"/>
          <w:sz w:val="20"/>
          <w:szCs w:val="20"/>
        </w:rPr>
      </w:pPr>
    </w:p>
    <w:p w14:paraId="5DCCE537" w14:textId="3831F760" w:rsidR="00965474" w:rsidRPr="004670BE" w:rsidRDefault="009F6033" w:rsidP="00BD57BF">
      <w:pPr>
        <w:jc w:val="both"/>
        <w:rPr>
          <w:rFonts w:cstheme="minorHAnsi"/>
          <w:bCs/>
          <w:iCs/>
          <w:szCs w:val="22"/>
        </w:rPr>
      </w:pPr>
      <w:r w:rsidRPr="004670BE">
        <w:rPr>
          <w:rFonts w:cstheme="minorHAnsi"/>
          <w:szCs w:val="22"/>
          <w:lang w:bidi="es-US"/>
        </w:rPr>
        <w:t xml:space="preserve">La EIPD sigue con su labor de acercamiento a los centros de detención de menores y la participación en estos para ofrecer programas pre-ETS a los jóvenes condenados y apoyar su reinserción en la comunidad mediante la conexión con oportunidades de empleo y formación. </w:t>
      </w:r>
    </w:p>
    <w:p w14:paraId="738B4F81" w14:textId="23B84BCE" w:rsidR="00875112" w:rsidRPr="004670BE" w:rsidRDefault="00875112" w:rsidP="00BD57BF">
      <w:pPr>
        <w:tabs>
          <w:tab w:val="left" w:pos="4730"/>
        </w:tabs>
        <w:spacing w:after="0"/>
        <w:jc w:val="both"/>
        <w:rPr>
          <w:rFonts w:cstheme="minorHAnsi"/>
          <w:bCs/>
          <w:spacing w:val="-4"/>
        </w:rPr>
      </w:pPr>
      <w:r w:rsidRPr="004670BE">
        <w:rPr>
          <w:rFonts w:cstheme="minorHAnsi"/>
          <w:b/>
          <w:i/>
          <w:color w:val="007FAA" w:themeColor="accent2"/>
          <w:sz w:val="24"/>
          <w:lang w:bidi="es-US"/>
        </w:rPr>
        <w:t xml:space="preserve">Área prioritaria </w:t>
      </w:r>
      <w:r w:rsidR="002B25AF" w:rsidRPr="004670BE">
        <w:rPr>
          <w:rFonts w:cstheme="minorHAnsi"/>
          <w:b/>
          <w:i/>
          <w:color w:val="007FAA" w:themeColor="accent2"/>
          <w:sz w:val="24"/>
          <w:lang w:bidi="es-US"/>
        </w:rPr>
        <w:t>núm.</w:t>
      </w:r>
      <w:r w:rsidRPr="004670BE">
        <w:rPr>
          <w:rFonts w:cstheme="minorHAnsi"/>
          <w:b/>
          <w:i/>
          <w:color w:val="007FAA" w:themeColor="accent2"/>
          <w:sz w:val="24"/>
          <w:lang w:bidi="es-US"/>
        </w:rPr>
        <w:t> 6: Promover el desarrollo, la contratación y la retención de personal</w:t>
      </w:r>
    </w:p>
    <w:p w14:paraId="6DAB8C2F" w14:textId="1D48954E" w:rsidR="00B01EDF" w:rsidRPr="004670BE" w:rsidRDefault="00741389" w:rsidP="00BD57BF">
      <w:pPr>
        <w:pStyle w:val="Heading4"/>
        <w:spacing w:before="0"/>
        <w:jc w:val="both"/>
        <w:rPr>
          <w:rFonts w:cstheme="minorHAnsi"/>
          <w:b w:val="0"/>
          <w:bCs/>
          <w:i w:val="0"/>
          <w:iCs w:val="0"/>
          <w:color w:val="auto"/>
          <w:sz w:val="22"/>
          <w:szCs w:val="22"/>
        </w:rPr>
      </w:pPr>
      <w:r w:rsidRPr="004670BE">
        <w:rPr>
          <w:rFonts w:cstheme="minorHAnsi"/>
          <w:b w:val="0"/>
          <w:i w:val="0"/>
          <w:color w:val="auto"/>
          <w:sz w:val="22"/>
          <w:szCs w:val="22"/>
          <w:lang w:bidi="es-US"/>
        </w:rPr>
        <w:t xml:space="preserve">Esta sección se añadió al Plan 2024-2025 en respuesta a los comentarios de las partes interesadas que indicaban que las cuestiones relativas al personal a menudo influían en el éxito de los demás pilares del Olmstead.  El NCDHHS tiene varias iniciativas en marcha para hacer frente a la crisis de personal. </w:t>
      </w:r>
    </w:p>
    <w:p w14:paraId="0DE94AA3" w14:textId="3A456A65" w:rsidR="00605195" w:rsidRPr="004670BE" w:rsidRDefault="00605195" w:rsidP="00BD57BF">
      <w:pPr>
        <w:pStyle w:val="Heading4"/>
        <w:spacing w:before="0"/>
        <w:jc w:val="both"/>
        <w:rPr>
          <w:rFonts w:cstheme="minorHAnsi"/>
        </w:rPr>
      </w:pPr>
    </w:p>
    <w:p w14:paraId="10837A80" w14:textId="2183C6BB" w:rsidR="005023CB" w:rsidRPr="004670BE" w:rsidRDefault="00610C77" w:rsidP="00BD57BF">
      <w:pPr>
        <w:spacing w:after="0"/>
        <w:jc w:val="both"/>
        <w:rPr>
          <w:rFonts w:ascii="Calibri" w:eastAsia="Times New Roman" w:hAnsi="Calibri" w:cs="Times New Roman"/>
          <w:color w:val="000000"/>
          <w:szCs w:val="22"/>
        </w:rPr>
      </w:pPr>
      <w:r w:rsidRPr="004670BE">
        <w:rPr>
          <w:rFonts w:ascii="Calibri" w:eastAsia="Times New Roman" w:hAnsi="Calibri" w:cs="Times New Roman"/>
          <w:color w:val="000000"/>
          <w:szCs w:val="22"/>
          <w:lang w:bidi="es-US"/>
        </w:rPr>
        <w:t xml:space="preserve">La DMH/DD/SUS ha avanzado en la asociación con el grupo de trabajo de profesionales de apoyo directo (Direct Support Professional, DSP) y otras agencias para adoptar una definición de los conceptos “personal de cuidado directo” y “profesional de apoyo directo”. La DMH/DD/SUS, en asociación con el Sistema de Universidades Comunitarias, se está preparando para el lanzamiento en otoño de 2024 de planes de estudios basados en competencias para profesionales de apoyo directo; esto generará un certificado, que se mantendrá en un directorio de profesionales de apoyo directo. La DMH/DD/SUS también está </w:t>
      </w:r>
      <w:r w:rsidRPr="004670BE">
        <w:rPr>
          <w:rFonts w:ascii="Calibri" w:eastAsia="Times New Roman" w:hAnsi="Calibri" w:cs="Times New Roman"/>
          <w:color w:val="000000"/>
          <w:szCs w:val="22"/>
          <w:lang w:bidi="es-US"/>
        </w:rPr>
        <w:lastRenderedPageBreak/>
        <w:t xml:space="preserve">trabajando en una plataforma de recursos profesionales para que los pares cuenten con vías claras para la acreditación y con recursos formativos y educativos de fácil acceso. </w:t>
      </w:r>
    </w:p>
    <w:p w14:paraId="049A60EF" w14:textId="5FE84DEB" w:rsidR="00A10ABF" w:rsidRPr="004670BE" w:rsidRDefault="00A10ABF" w:rsidP="00BD57BF">
      <w:pPr>
        <w:spacing w:after="0"/>
        <w:jc w:val="both"/>
        <w:rPr>
          <w:rFonts w:ascii="Calibri" w:eastAsia="Times New Roman" w:hAnsi="Calibri" w:cs="Times New Roman"/>
          <w:color w:val="000000"/>
          <w:szCs w:val="22"/>
        </w:rPr>
      </w:pPr>
    </w:p>
    <w:p w14:paraId="12D4E513" w14:textId="702FA4AB" w:rsidR="00A10ABF" w:rsidRPr="004670BE" w:rsidRDefault="00A10ABF" w:rsidP="00BD57BF">
      <w:pPr>
        <w:spacing w:after="0"/>
        <w:jc w:val="both"/>
        <w:rPr>
          <w:rFonts w:ascii="Calibri" w:eastAsia="Times New Roman" w:hAnsi="Calibri" w:cs="Times New Roman"/>
          <w:color w:val="000000"/>
          <w:szCs w:val="22"/>
        </w:rPr>
      </w:pPr>
      <w:r w:rsidRPr="004670BE">
        <w:rPr>
          <w:rFonts w:ascii="Calibri" w:eastAsia="Times New Roman" w:hAnsi="Calibri" w:cs="Times New Roman"/>
          <w:color w:val="000000"/>
          <w:szCs w:val="22"/>
          <w:lang w:bidi="es-US"/>
        </w:rPr>
        <w:t>En junio, el DHHS publicó un plan plurianual para el personal de profesionales de apoyo directo con el objetivo de hacer frente a la grave escasez de estos profesionales.  La implementación comenzará el 1 de julio.  El plan integral forma parte de la iniciativa Inclusion Connects, dedicada a conectar a las personas con I/DD con más opciones y brindarles más acceso a servicios y apoyos.  La iniciativa incluye el desarrollo de personal de DSP sólido y de alta calidad mejorando las estrategias de contratación, retención y formación.  El plan de personal también aborda las directrices de la reciente Orden de Consentimiento derivada del caso Samantha R.  El plan de personal de DSP se centra en varias iniciativas clave durante el primer año de implementación:</w:t>
      </w:r>
    </w:p>
    <w:p w14:paraId="6ECD2C01" w14:textId="32F89D8B" w:rsidR="00D60294" w:rsidRPr="004670BE" w:rsidRDefault="00D60294" w:rsidP="00BD57BF">
      <w:pPr>
        <w:pStyle w:val="ListParagraph"/>
        <w:numPr>
          <w:ilvl w:val="0"/>
          <w:numId w:val="40"/>
        </w:numPr>
        <w:spacing w:after="0"/>
        <w:jc w:val="both"/>
        <w:rPr>
          <w:rFonts w:eastAsia="Times New Roman" w:cstheme="minorHAnsi"/>
          <w:color w:val="000000"/>
          <w:szCs w:val="22"/>
        </w:rPr>
      </w:pPr>
      <w:r w:rsidRPr="004670BE">
        <w:rPr>
          <w:rFonts w:ascii="Calibri" w:eastAsia="Times New Roman" w:hAnsi="Calibri" w:cs="Times New Roman"/>
          <w:color w:val="000000"/>
          <w:szCs w:val="22"/>
          <w:lang w:bidi="es-US"/>
        </w:rPr>
        <w:t xml:space="preserve">Campaña de </w:t>
      </w:r>
      <w:r w:rsidRPr="004670BE">
        <w:rPr>
          <w:rFonts w:eastAsia="Times New Roman" w:cstheme="minorHAnsi"/>
          <w:color w:val="000000"/>
          <w:szCs w:val="22"/>
          <w:lang w:bidi="es-US"/>
        </w:rPr>
        <w:t>concientización y contratación:  se dirige a estudiantes de secundaria y de universidades comunitarias, así como a personas desempleadas o subempleadas, para instruirlas y motivarlas sobre las carreras profesionales de servicios humanos. La campaña se lanzará en septiembre de 2024.</w:t>
      </w:r>
    </w:p>
    <w:p w14:paraId="06C0AF79" w14:textId="212E7857" w:rsidR="00D60294" w:rsidRPr="004670BE" w:rsidRDefault="00D60294" w:rsidP="00BD57BF">
      <w:pPr>
        <w:pStyle w:val="ListParagraph"/>
        <w:numPr>
          <w:ilvl w:val="0"/>
          <w:numId w:val="40"/>
        </w:numPr>
        <w:spacing w:after="0"/>
        <w:jc w:val="both"/>
        <w:rPr>
          <w:rFonts w:eastAsia="Times New Roman" w:cstheme="minorHAnsi"/>
          <w:color w:val="000000"/>
          <w:szCs w:val="22"/>
        </w:rPr>
      </w:pPr>
      <w:r w:rsidRPr="004670BE">
        <w:rPr>
          <w:rFonts w:eastAsia="Times New Roman" w:cstheme="minorHAnsi"/>
          <w:color w:val="000000"/>
          <w:szCs w:val="22"/>
          <w:lang w:bidi="es-US"/>
        </w:rPr>
        <w:t>Programa piloto de universidades comunitarias: una asociación con universidades comunitarias seleccionadas para desarrollar e implementar un plan de estudios y un programa de certificación específicos de DSP; esto incluye un componente de becas que cubra la matrícula y las comisiones de los participantes.</w:t>
      </w:r>
    </w:p>
    <w:p w14:paraId="0ECB5A68" w14:textId="46D13A9E" w:rsidR="00D60294" w:rsidRPr="004670BE" w:rsidRDefault="00D60294" w:rsidP="00BD57BF">
      <w:pPr>
        <w:pStyle w:val="ListParagraph"/>
        <w:numPr>
          <w:ilvl w:val="0"/>
          <w:numId w:val="40"/>
        </w:numPr>
        <w:spacing w:after="0"/>
        <w:jc w:val="both"/>
        <w:rPr>
          <w:rFonts w:eastAsia="Times New Roman" w:cstheme="minorHAnsi"/>
          <w:color w:val="000000"/>
          <w:szCs w:val="22"/>
        </w:rPr>
      </w:pPr>
      <w:r w:rsidRPr="004670BE">
        <w:rPr>
          <w:rFonts w:eastAsia="Times New Roman" w:cstheme="minorHAnsi"/>
          <w:color w:val="000000"/>
          <w:szCs w:val="22"/>
          <w:lang w:bidi="es-US"/>
        </w:rPr>
        <w:t>Subvenciones para la contratación y retención de proveedores: estas subvenciones ayudarán a las agencias proveedoras a mejorar sus estructuras de apoyo para atraer y retener a los DSP.</w:t>
      </w: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10ABF" w:rsidRPr="004670BE" w14:paraId="79FDD7A1" w14:textId="77777777" w:rsidTr="00A10ABF">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10ABF" w:rsidRPr="004670BE" w14:paraId="00320EA1" w14:textId="77777777">
              <w:trPr>
                <w:tblCellSpacing w:w="0" w:type="dxa"/>
                <w:jc w:val="center"/>
              </w:trPr>
              <w:tc>
                <w:tcPr>
                  <w:tcW w:w="0" w:type="auto"/>
                  <w:tcMar>
                    <w:top w:w="150" w:type="dxa"/>
                    <w:left w:w="300" w:type="dxa"/>
                    <w:bottom w:w="150" w:type="dxa"/>
                    <w:right w:w="300" w:type="dxa"/>
                  </w:tcMar>
                </w:tcPr>
                <w:p w14:paraId="68AAEC24" w14:textId="63C290B2" w:rsidR="00A10ABF" w:rsidRPr="004670BE" w:rsidRDefault="00A10ABF" w:rsidP="00BD57BF">
                  <w:pPr>
                    <w:spacing w:after="0" w:line="240" w:lineRule="auto"/>
                    <w:jc w:val="both"/>
                    <w:rPr>
                      <w:rFonts w:ascii="Verdana" w:eastAsia="Times New Roman" w:hAnsi="Verdana"/>
                      <w:color w:val="000000"/>
                      <w:sz w:val="21"/>
                      <w:szCs w:val="21"/>
                    </w:rPr>
                  </w:pPr>
                </w:p>
              </w:tc>
            </w:tr>
          </w:tbl>
          <w:p w14:paraId="1B67D908" w14:textId="77777777" w:rsidR="00A10ABF" w:rsidRPr="004670BE" w:rsidRDefault="00A10ABF" w:rsidP="00BD57BF">
            <w:pPr>
              <w:jc w:val="both"/>
              <w:rPr>
                <w:rFonts w:ascii="Times New Roman" w:eastAsia="Times New Roman" w:hAnsi="Times New Roman" w:cs="Times New Roman"/>
                <w:sz w:val="20"/>
                <w:szCs w:val="20"/>
              </w:rPr>
            </w:pPr>
          </w:p>
        </w:tc>
      </w:tr>
    </w:tbl>
    <w:p w14:paraId="1A462DE8" w14:textId="77777777" w:rsidR="00A10ABF" w:rsidRPr="004670BE" w:rsidRDefault="00A10ABF" w:rsidP="00BD57BF">
      <w:pPr>
        <w:jc w:val="both"/>
        <w:rPr>
          <w:rFonts w:ascii="Calibri" w:eastAsia="Times New Roman" w:hAnsi="Calibri" w:cs="Calibri"/>
          <w:vanish/>
          <w:szCs w:val="22"/>
        </w:rPr>
      </w:pPr>
    </w:p>
    <w:p w14:paraId="0036996C" w14:textId="6D509E08" w:rsidR="001C2C1E" w:rsidRPr="004670BE" w:rsidRDefault="001C2C1E" w:rsidP="00BD57BF">
      <w:pPr>
        <w:pStyle w:val="Heading2"/>
        <w:jc w:val="both"/>
        <w:rPr>
          <w:rFonts w:asciiTheme="minorHAnsi" w:hAnsiTheme="minorHAnsi" w:cstheme="minorHAnsi"/>
        </w:rPr>
      </w:pPr>
      <w:r w:rsidRPr="004670BE">
        <w:rPr>
          <w:rFonts w:asciiTheme="minorHAnsi" w:hAnsiTheme="minorHAnsi" w:cstheme="minorHAnsi"/>
          <w:szCs w:val="32"/>
          <w:lang w:bidi="es-US"/>
        </w:rPr>
        <w:t>Retos para la implementación del Plan</w:t>
      </w:r>
    </w:p>
    <w:p w14:paraId="011BC160" w14:textId="157194C0" w:rsidR="003D0F23" w:rsidRPr="004670BE" w:rsidRDefault="003C694C" w:rsidP="00BD57BF">
      <w:pPr>
        <w:jc w:val="both"/>
        <w:rPr>
          <w:rFonts w:cstheme="minorHAnsi"/>
          <w:b/>
          <w:sz w:val="28"/>
          <w:szCs w:val="28"/>
        </w:rPr>
      </w:pPr>
      <w:r w:rsidRPr="004670BE">
        <w:rPr>
          <w:rFonts w:cstheme="minorHAnsi"/>
          <w:b/>
          <w:sz w:val="28"/>
          <w:szCs w:val="28"/>
          <w:lang w:bidi="es-US"/>
        </w:rPr>
        <w:t>Abordar la actual crisis de personal</w:t>
      </w:r>
    </w:p>
    <w:p w14:paraId="3A89BAC1" w14:textId="05765007" w:rsidR="00012CCE" w:rsidRPr="004670BE" w:rsidRDefault="00BC7EA5" w:rsidP="00BD57BF">
      <w:pPr>
        <w:autoSpaceDE w:val="0"/>
        <w:autoSpaceDN w:val="0"/>
        <w:adjustRightInd w:val="0"/>
        <w:spacing w:after="0" w:line="240" w:lineRule="auto"/>
        <w:jc w:val="both"/>
        <w:rPr>
          <w:rFonts w:cstheme="minorHAnsi"/>
          <w:color w:val="000000"/>
          <w:szCs w:val="22"/>
        </w:rPr>
      </w:pPr>
      <w:bookmarkStart w:id="1" w:name="_Hlk178002868"/>
      <w:r w:rsidRPr="004670BE">
        <w:rPr>
          <w:rFonts w:cstheme="minorHAnsi"/>
          <w:color w:val="000000"/>
          <w:szCs w:val="22"/>
          <w:lang w:bidi="es-US"/>
        </w:rPr>
        <w:t>La</w:t>
      </w:r>
      <w:bookmarkEnd w:id="1"/>
      <w:r w:rsidRPr="004670BE">
        <w:rPr>
          <w:rFonts w:cstheme="minorHAnsi"/>
          <w:color w:val="000000"/>
          <w:szCs w:val="22"/>
          <w:lang w:bidi="es-US"/>
        </w:rPr>
        <w:t xml:space="preserve"> crisis de personal sigue siendo un reto que afecta a todos los ámbitos del Plan Olmstead.  Se trata de un problema común que las partes interesadas señalan en sus comentarios sobre el borrador del Plan 2024-2025.  El NCDHHS ha tomado medidas para abordar esta cuestión, ha vuelto a darle prioridad y la ha añadido de nuevo al </w:t>
      </w:r>
      <w:bookmarkStart w:id="2" w:name="_Hlk168038059"/>
      <w:r w:rsidRPr="004670BE">
        <w:rPr>
          <w:rFonts w:cstheme="minorHAnsi"/>
          <w:color w:val="000000"/>
          <w:szCs w:val="22"/>
          <w:lang w:bidi="es-US"/>
        </w:rPr>
        <w:t>plan revisado</w:t>
      </w:r>
      <w:bookmarkEnd w:id="2"/>
      <w:r w:rsidRPr="004670BE">
        <w:rPr>
          <w:rFonts w:cstheme="minorHAnsi"/>
          <w:color w:val="000000"/>
          <w:szCs w:val="22"/>
          <w:lang w:bidi="es-US"/>
        </w:rPr>
        <w:t xml:space="preserve">.  El NCDHHS ha puesto en marcha varias iniciativas para hacer frente a la crisis de personal de primera línea. El Consejo de Discapacidades del Desarrollo de Carolina del Norte (NC Council on Developmental Disabilities, NCCDD) está dirigiendo un importante trabajo para abordar la compensación de los trabajadores. Además, a través de una subvención del NCDHHS a los Centros de Educación </w:t>
      </w:r>
      <w:r w:rsidR="007E52E3" w:rsidRPr="004670BE">
        <w:rPr>
          <w:rFonts w:cstheme="minorHAnsi"/>
          <w:color w:val="000000"/>
          <w:szCs w:val="22"/>
          <w:lang w:bidi="es-US"/>
        </w:rPr>
        <w:t>de Salud</w:t>
      </w:r>
      <w:r w:rsidR="007E52E3" w:rsidRPr="004670BE">
        <w:rPr>
          <w:rFonts w:cstheme="minorHAnsi"/>
          <w:color w:val="000000"/>
          <w:szCs w:val="22"/>
          <w:lang w:bidi="es-US"/>
        </w:rPr>
        <w:t xml:space="preserve"> </w:t>
      </w:r>
      <w:r w:rsidRPr="004670BE">
        <w:rPr>
          <w:rFonts w:cstheme="minorHAnsi"/>
          <w:color w:val="000000"/>
          <w:szCs w:val="22"/>
          <w:lang w:bidi="es-US"/>
        </w:rPr>
        <w:t>del Área (Area Health Education Centers, AHEC), estos elaboraron recomendaciones relacionadas con la acreditación y la certificación de los profesionales de apoyo directo.</w:t>
      </w:r>
      <w:r w:rsidR="002A275E" w:rsidRPr="004670BE">
        <w:rPr>
          <w:rStyle w:val="FootnoteReference"/>
          <w:rFonts w:cstheme="minorHAnsi"/>
          <w:color w:val="000000"/>
          <w:szCs w:val="22"/>
          <w:lang w:bidi="es-US"/>
        </w:rPr>
        <w:footnoteReference w:id="1"/>
      </w:r>
      <w:r w:rsidRPr="004670BE">
        <w:rPr>
          <w:rFonts w:cstheme="minorHAnsi"/>
          <w:color w:val="000000"/>
          <w:szCs w:val="22"/>
          <w:lang w:bidi="es-US"/>
        </w:rPr>
        <w:t xml:space="preserve">  Además, </w:t>
      </w:r>
      <w:r w:rsidR="003864B4" w:rsidRPr="004670BE">
        <w:rPr>
          <w:rFonts w:cstheme="minorHAnsi"/>
          <w:color w:val="000000"/>
          <w:szCs w:val="22"/>
          <w:lang w:bidi="es-US"/>
        </w:rPr>
        <w:t xml:space="preserve">la </w:t>
      </w:r>
      <w:r w:rsidR="003864B4" w:rsidRPr="004670BE">
        <w:rPr>
          <w:lang w:bidi="es-US"/>
        </w:rPr>
        <w:t>Coalición sobre el Envejecimiento (Coalition on Aging)</w:t>
      </w:r>
      <w:r w:rsidRPr="004670BE">
        <w:rPr>
          <w:rFonts w:cstheme="minorHAnsi"/>
          <w:color w:val="000000"/>
          <w:szCs w:val="22"/>
          <w:lang w:bidi="es-US"/>
        </w:rPr>
        <w:t xml:space="preserve"> ha financiado a PHI para que ayude a desarrollar las competencias con las que debe formarse el personal de primera línea.  El grupo de trabajo de profesionales de apoyo directo ha abogado por aumentos salariales en la Asamblea General de Carolina del Norte, un esfuerzo que se espera que tenga éxito.  Estos esfuerzos son fundamentales, ya que los </w:t>
      </w:r>
      <w:r w:rsidRPr="004670BE">
        <w:rPr>
          <w:rFonts w:cstheme="minorHAnsi"/>
          <w:color w:val="000000"/>
          <w:szCs w:val="22"/>
          <w:lang w:bidi="es-US"/>
        </w:rPr>
        <w:lastRenderedPageBreak/>
        <w:t>proveedores siguen luchando por contratar personal suficiente y mantenerlo para satisfacer las necesidades de los beneficiarios de servicios con discapacidad</w:t>
      </w:r>
      <w:r w:rsidR="00007FD3" w:rsidRPr="004670BE">
        <w:rPr>
          <w:rFonts w:cstheme="minorHAnsi"/>
          <w:color w:val="000000"/>
          <w:szCs w:val="22"/>
          <w:lang w:bidi="es-US"/>
        </w:rPr>
        <w:t>es</w:t>
      </w:r>
      <w:r w:rsidRPr="004670BE">
        <w:rPr>
          <w:rFonts w:cstheme="minorHAnsi"/>
          <w:color w:val="000000"/>
          <w:szCs w:val="22"/>
          <w:lang w:bidi="es-US"/>
        </w:rPr>
        <w:t>, especialmente en la comunidad.</w:t>
      </w:r>
    </w:p>
    <w:p w14:paraId="64C7E710" w14:textId="77777777" w:rsidR="006932E4" w:rsidRPr="004670BE" w:rsidRDefault="006932E4" w:rsidP="00BD57BF">
      <w:pPr>
        <w:autoSpaceDE w:val="0"/>
        <w:autoSpaceDN w:val="0"/>
        <w:adjustRightInd w:val="0"/>
        <w:spacing w:after="0" w:line="240" w:lineRule="auto"/>
        <w:jc w:val="both"/>
        <w:rPr>
          <w:rFonts w:cstheme="minorHAnsi"/>
          <w:color w:val="000000"/>
          <w:szCs w:val="22"/>
        </w:rPr>
      </w:pPr>
    </w:p>
    <w:p w14:paraId="5CF2FFE9" w14:textId="77777777" w:rsidR="00BD57BF" w:rsidRPr="004670BE" w:rsidRDefault="00BD57BF">
      <w:pPr>
        <w:spacing w:after="0" w:line="240" w:lineRule="auto"/>
        <w:rPr>
          <w:rFonts w:cstheme="minorHAnsi"/>
          <w:b/>
          <w:sz w:val="28"/>
          <w:szCs w:val="28"/>
          <w:lang w:bidi="es-US"/>
        </w:rPr>
      </w:pPr>
      <w:r w:rsidRPr="004670BE">
        <w:rPr>
          <w:rFonts w:cstheme="minorHAnsi"/>
          <w:b/>
          <w:sz w:val="28"/>
          <w:szCs w:val="28"/>
          <w:lang w:bidi="es-US"/>
        </w:rPr>
        <w:br w:type="page"/>
      </w:r>
    </w:p>
    <w:p w14:paraId="4AAD5F67" w14:textId="576BC860" w:rsidR="006932E4" w:rsidRPr="004670BE" w:rsidRDefault="006932E4" w:rsidP="00BD57BF">
      <w:pPr>
        <w:autoSpaceDE w:val="0"/>
        <w:autoSpaceDN w:val="0"/>
        <w:adjustRightInd w:val="0"/>
        <w:spacing w:after="0" w:line="240" w:lineRule="auto"/>
        <w:jc w:val="both"/>
        <w:rPr>
          <w:rFonts w:cstheme="minorHAnsi"/>
          <w:b/>
          <w:sz w:val="28"/>
          <w:szCs w:val="28"/>
        </w:rPr>
      </w:pPr>
      <w:r w:rsidRPr="004670BE">
        <w:rPr>
          <w:rFonts w:cstheme="minorHAnsi"/>
          <w:b/>
          <w:sz w:val="28"/>
          <w:szCs w:val="28"/>
          <w:lang w:bidi="es-US"/>
        </w:rPr>
        <w:lastRenderedPageBreak/>
        <w:t>Cambiar a las estrategias del plan actualizado</w:t>
      </w:r>
    </w:p>
    <w:p w14:paraId="0CCCDB7D" w14:textId="77777777" w:rsidR="00113525" w:rsidRPr="004670BE" w:rsidRDefault="00113525" w:rsidP="00BD57BF">
      <w:pPr>
        <w:autoSpaceDE w:val="0"/>
        <w:autoSpaceDN w:val="0"/>
        <w:adjustRightInd w:val="0"/>
        <w:spacing w:after="0" w:line="240" w:lineRule="auto"/>
        <w:jc w:val="both"/>
        <w:rPr>
          <w:rFonts w:cstheme="minorHAnsi"/>
          <w:color w:val="000000"/>
          <w:szCs w:val="22"/>
        </w:rPr>
      </w:pPr>
    </w:p>
    <w:p w14:paraId="50ACB41E" w14:textId="26E8C3BB" w:rsidR="00113525" w:rsidRPr="004670BE" w:rsidRDefault="00113525" w:rsidP="00BD57BF">
      <w:pPr>
        <w:autoSpaceDE w:val="0"/>
        <w:autoSpaceDN w:val="0"/>
        <w:adjustRightInd w:val="0"/>
        <w:spacing w:after="0" w:line="240" w:lineRule="auto"/>
        <w:jc w:val="both"/>
        <w:rPr>
          <w:rFonts w:cstheme="minorHAnsi"/>
          <w:b/>
          <w:sz w:val="28"/>
          <w:szCs w:val="28"/>
        </w:rPr>
      </w:pPr>
      <w:r w:rsidRPr="004670BE">
        <w:rPr>
          <w:rFonts w:cstheme="minorHAnsi"/>
          <w:color w:val="000000"/>
          <w:szCs w:val="22"/>
          <w:lang w:bidi="es-US"/>
        </w:rPr>
        <w:t xml:space="preserve">La transición a las estrategias identificadas en el plan actualizado requirió el desarrollo de acciones específicas y graduales en todas las agencias estatales </w:t>
      </w:r>
      <w:r w:rsidR="001F6367" w:rsidRPr="004670BE">
        <w:rPr>
          <w:rFonts w:cstheme="minorHAnsi"/>
          <w:color w:val="000000"/>
          <w:szCs w:val="22"/>
          <w:lang w:bidi="es-US"/>
        </w:rPr>
        <w:t>involucradas</w:t>
      </w:r>
      <w:r w:rsidRPr="004670BE">
        <w:rPr>
          <w:rFonts w:cstheme="minorHAnsi"/>
          <w:color w:val="000000"/>
          <w:szCs w:val="22"/>
          <w:lang w:bidi="es-US"/>
        </w:rPr>
        <w:t>.  Tras la aprobación y la publicación del plan actualizado, los miembros del comité interno OPSA identificaron los trabajos en curso que apoyan las estrategias, junto con las nuevas actividades previstas.  Se prevé que la adaptación al nuevo plan y a los procesos de elaboración de informes pueda dar la impresión de que se está obstaculizando el progreso, pero esto no refleja los esfuerzos reales y en curso del estado para implementar el Plan Olmstead.</w:t>
      </w:r>
    </w:p>
    <w:p w14:paraId="38FB4A65" w14:textId="77777777" w:rsidR="00A26D2E" w:rsidRPr="004670BE" w:rsidRDefault="00A26D2E" w:rsidP="00BD57BF">
      <w:pPr>
        <w:autoSpaceDE w:val="0"/>
        <w:autoSpaceDN w:val="0"/>
        <w:adjustRightInd w:val="0"/>
        <w:spacing w:after="0" w:line="240" w:lineRule="auto"/>
        <w:jc w:val="both"/>
        <w:rPr>
          <w:rFonts w:cstheme="minorHAnsi"/>
          <w:color w:val="000000"/>
          <w:szCs w:val="22"/>
        </w:rPr>
      </w:pPr>
    </w:p>
    <w:p w14:paraId="58A8457B" w14:textId="0D2870B7" w:rsidR="00262071" w:rsidRPr="004670BE" w:rsidRDefault="00262071" w:rsidP="00BD57BF">
      <w:pPr>
        <w:pStyle w:val="Heading1"/>
        <w:rPr>
          <w:rFonts w:asciiTheme="minorHAnsi" w:hAnsiTheme="minorHAnsi" w:cstheme="minorHAnsi"/>
          <w:lang w:bidi="es-US"/>
        </w:rPr>
      </w:pPr>
      <w:r w:rsidRPr="004670BE">
        <w:rPr>
          <w:rFonts w:asciiTheme="minorHAnsi" w:hAnsiTheme="minorHAnsi" w:cstheme="minorHAnsi"/>
          <w:lang w:bidi="es-US"/>
        </w:rPr>
        <w:t xml:space="preserve">Próximos pasos en la implementación del </w:t>
      </w:r>
      <w:r w:rsidR="00BD57BF" w:rsidRPr="004670BE">
        <w:rPr>
          <w:rFonts w:asciiTheme="minorHAnsi" w:hAnsiTheme="minorHAnsi" w:cstheme="minorHAnsi"/>
          <w:lang w:bidi="es-US"/>
        </w:rPr>
        <w:t>P</w:t>
      </w:r>
      <w:r w:rsidRPr="004670BE">
        <w:rPr>
          <w:rFonts w:asciiTheme="minorHAnsi" w:hAnsiTheme="minorHAnsi" w:cstheme="minorHAnsi"/>
          <w:lang w:bidi="es-US"/>
        </w:rPr>
        <w:t>lan</w:t>
      </w:r>
      <w:r w:rsidR="00BD57BF" w:rsidRPr="004670BE">
        <w:rPr>
          <w:rFonts w:asciiTheme="minorHAnsi" w:hAnsiTheme="minorHAnsi" w:cstheme="minorHAnsi"/>
          <w:lang w:bidi="es-US"/>
        </w:rPr>
        <w:t xml:space="preserve"> </w:t>
      </w:r>
      <w:r w:rsidRPr="004670BE">
        <w:rPr>
          <w:rFonts w:asciiTheme="minorHAnsi" w:hAnsiTheme="minorHAnsi" w:cstheme="minorHAnsi"/>
          <w:lang w:bidi="es-US"/>
        </w:rPr>
        <w:t>Olmstead</w:t>
      </w:r>
    </w:p>
    <w:p w14:paraId="18D15AF9" w14:textId="4AA9B6B3" w:rsidR="008118FB" w:rsidRPr="004670BE" w:rsidRDefault="00E12679" w:rsidP="00BD57BF">
      <w:pPr>
        <w:spacing w:after="160" w:line="259" w:lineRule="auto"/>
        <w:jc w:val="both"/>
        <w:rPr>
          <w:rFonts w:cstheme="minorHAnsi"/>
        </w:rPr>
      </w:pPr>
      <w:r w:rsidRPr="004670BE">
        <w:rPr>
          <w:rFonts w:cstheme="minorHAnsi"/>
          <w:lang w:bidi="es-US"/>
        </w:rPr>
        <w:t xml:space="preserve">Los informes trimestrales seguirán reflejando los avances en las estrategias derivadas de las seis áreas prioritarias del Plan 2024-2025.  La </w:t>
      </w:r>
      <w:r w:rsidR="006E6AF9" w:rsidRPr="00821AAF">
        <w:rPr>
          <w:lang w:bidi="es-US"/>
        </w:rPr>
        <w:t>Cooperativa de Asistencia Técnica</w:t>
      </w:r>
      <w:r w:rsidRPr="004670BE">
        <w:rPr>
          <w:rFonts w:cstheme="minorHAnsi"/>
          <w:lang w:bidi="es-US"/>
        </w:rPr>
        <w:t xml:space="preserve">, el Departamento y Mathematica trabajarán para garantizar que todas las medidas y las acciones sigan siendo relevantes para la presentación de informes y se ajusten según sea necesario.  Con el alineamiento de prioridades, acciones y medidas, Carolina del Norte podrá evaluar los avances continuos en la creación de comunidades inclusivas.  </w:t>
      </w:r>
    </w:p>
    <w:p w14:paraId="637A36BF" w14:textId="6BD2BBBA" w:rsidR="0094451B" w:rsidRPr="004670BE" w:rsidRDefault="00262071" w:rsidP="00BD57BF">
      <w:pPr>
        <w:tabs>
          <w:tab w:val="left" w:pos="8220"/>
        </w:tabs>
        <w:jc w:val="both"/>
        <w:rPr>
          <w:rFonts w:cstheme="minorHAnsi"/>
        </w:rPr>
      </w:pPr>
      <w:bookmarkStart w:id="3" w:name="_Hlk136872990"/>
      <w:r w:rsidRPr="004670BE">
        <w:rPr>
          <w:rFonts w:cstheme="minorHAnsi"/>
          <w:lang w:bidi="es-US"/>
        </w:rPr>
        <w:t>El próximo informe de situación de la actividad de las entidades informantes se presentará el 30 de septiembre de 2024.</w:t>
      </w:r>
      <w:bookmarkEnd w:id="3"/>
      <w:r w:rsidRPr="004670BE">
        <w:rPr>
          <w:rFonts w:cstheme="minorHAnsi"/>
          <w:lang w:bidi="es-US"/>
        </w:rPr>
        <w:t xml:space="preserve"> La </w:t>
      </w:r>
      <w:r w:rsidR="006E6AF9" w:rsidRPr="00821AAF">
        <w:rPr>
          <w:lang w:bidi="es-US"/>
        </w:rPr>
        <w:t>Cooperativa de Asistencia Técnica</w:t>
      </w:r>
      <w:r w:rsidRPr="004670BE">
        <w:rPr>
          <w:rFonts w:cstheme="minorHAnsi"/>
          <w:lang w:bidi="es-US"/>
        </w:rPr>
        <w:t xml:space="preserve"> preparará el próximo informe resumido, que se publicará en octubre de 2024. </w:t>
      </w:r>
    </w:p>
    <w:sectPr w:rsidR="0094451B" w:rsidRPr="004670BE" w:rsidSect="00491DC5">
      <w:headerReference w:type="even" r:id="rId20"/>
      <w:headerReference w:type="default" r:id="rId21"/>
      <w:footerReference w:type="default" r:id="rId22"/>
      <w:head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98534" w14:textId="77777777" w:rsidR="006E78A9" w:rsidRDefault="006E78A9" w:rsidP="00E354BB">
      <w:r>
        <w:separator/>
      </w:r>
    </w:p>
  </w:endnote>
  <w:endnote w:type="continuationSeparator" w:id="0">
    <w:p w14:paraId="03A46694" w14:textId="77777777" w:rsidR="006E78A9" w:rsidRDefault="006E78A9" w:rsidP="00E35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Body)">
    <w:altName w:val="Calibri"/>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6267465"/>
      <w:docPartObj>
        <w:docPartGallery w:val="Page Numbers (Bottom of Page)"/>
        <w:docPartUnique/>
      </w:docPartObj>
    </w:sdtPr>
    <w:sdtContent>
      <w:p w14:paraId="32CC00F6" w14:textId="5EB12CFD" w:rsidR="007A0C2B" w:rsidRDefault="007A0C2B" w:rsidP="007E0C62">
        <w:pPr>
          <w:pStyle w:val="Footer"/>
          <w:framePr w:wrap="none" w:vAnchor="text" w:hAnchor="margin" w:xAlign="right" w:y="1"/>
          <w:rPr>
            <w:rStyle w:val="PageNumber"/>
          </w:rPr>
        </w:pPr>
        <w:r>
          <w:rPr>
            <w:rStyle w:val="PageNumber"/>
            <w:lang w:bidi="es-US"/>
          </w:rPr>
          <w:fldChar w:fldCharType="begin"/>
        </w:r>
        <w:r>
          <w:rPr>
            <w:rStyle w:val="PageNumber"/>
            <w:lang w:bidi="es-US"/>
          </w:rPr>
          <w:instrText xml:space="preserve"> PAGE </w:instrText>
        </w:r>
        <w:r>
          <w:rPr>
            <w:rStyle w:val="PageNumber"/>
            <w:lang w:bidi="es-US"/>
          </w:rPr>
          <w:fldChar w:fldCharType="separate"/>
        </w:r>
        <w:r w:rsidR="00BD57BF">
          <w:rPr>
            <w:rStyle w:val="PageNumber"/>
            <w:noProof/>
            <w:lang w:bidi="es-US"/>
          </w:rPr>
          <w:t>0</w:t>
        </w:r>
        <w:r>
          <w:rPr>
            <w:rStyle w:val="PageNumber"/>
            <w:lang w:bidi="es-US"/>
          </w:rPr>
          <w:fldChar w:fldCharType="end"/>
        </w:r>
      </w:p>
    </w:sdtContent>
  </w:sdt>
  <w:sdt>
    <w:sdtPr>
      <w:rPr>
        <w:rStyle w:val="PageNumber"/>
      </w:rPr>
      <w:id w:val="-2044428431"/>
      <w:docPartObj>
        <w:docPartGallery w:val="Page Numbers (Bottom of Page)"/>
        <w:docPartUnique/>
      </w:docPartObj>
    </w:sdtPr>
    <w:sdtContent>
      <w:p w14:paraId="03CF2637" w14:textId="02A66D8F" w:rsidR="007A0C2B" w:rsidRDefault="007A0C2B" w:rsidP="002338A3">
        <w:pPr>
          <w:pStyle w:val="Footer"/>
          <w:framePr w:wrap="none" w:vAnchor="text" w:hAnchor="margin" w:xAlign="right" w:y="1"/>
          <w:ind w:right="360"/>
          <w:rPr>
            <w:rStyle w:val="PageNumber"/>
          </w:rPr>
        </w:pPr>
        <w:r>
          <w:rPr>
            <w:rStyle w:val="PageNumber"/>
            <w:lang w:bidi="es-US"/>
          </w:rPr>
          <w:fldChar w:fldCharType="begin"/>
        </w:r>
        <w:r>
          <w:rPr>
            <w:rStyle w:val="PageNumber"/>
            <w:lang w:bidi="es-US"/>
          </w:rPr>
          <w:instrText xml:space="preserve"> PAGE </w:instrText>
        </w:r>
        <w:r>
          <w:rPr>
            <w:rStyle w:val="PageNumber"/>
            <w:lang w:bidi="es-US"/>
          </w:rPr>
          <w:fldChar w:fldCharType="separate"/>
        </w:r>
        <w:r w:rsidR="00BD57BF">
          <w:rPr>
            <w:rStyle w:val="PageNumber"/>
            <w:noProof/>
            <w:lang w:bidi="es-US"/>
          </w:rPr>
          <w:t>0</w:t>
        </w:r>
        <w:r>
          <w:rPr>
            <w:rStyle w:val="PageNumber"/>
            <w:lang w:bidi="es-US"/>
          </w:rPr>
          <w:fldChar w:fldCharType="end"/>
        </w:r>
      </w:p>
    </w:sdtContent>
  </w:sdt>
  <w:p w14:paraId="3C452A1D" w14:textId="77777777" w:rsidR="007A0C2B" w:rsidRDefault="007A0C2B" w:rsidP="00447F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3805519"/>
      <w:docPartObj>
        <w:docPartGallery w:val="Page Numbers (Bottom of Page)"/>
        <w:docPartUnique/>
      </w:docPartObj>
    </w:sdtPr>
    <w:sdtContent>
      <w:p w14:paraId="2E791EA3" w14:textId="177B2574" w:rsidR="007A0C2B" w:rsidRDefault="007A0C2B" w:rsidP="007E0C62">
        <w:pPr>
          <w:pStyle w:val="Footer"/>
          <w:framePr w:wrap="none" w:vAnchor="text" w:hAnchor="margin" w:xAlign="right" w:y="1"/>
          <w:rPr>
            <w:rStyle w:val="PageNumber"/>
          </w:rPr>
        </w:pPr>
        <w:r>
          <w:rPr>
            <w:rStyle w:val="PageNumber"/>
            <w:lang w:bidi="es-US"/>
          </w:rPr>
          <w:fldChar w:fldCharType="begin"/>
        </w:r>
        <w:r>
          <w:rPr>
            <w:rStyle w:val="PageNumber"/>
            <w:lang w:bidi="es-US"/>
          </w:rPr>
          <w:instrText xml:space="preserve"> PAGE </w:instrText>
        </w:r>
        <w:r>
          <w:rPr>
            <w:rStyle w:val="PageNumber"/>
            <w:lang w:bidi="es-US"/>
          </w:rPr>
          <w:fldChar w:fldCharType="separate"/>
        </w:r>
        <w:r w:rsidR="00170924">
          <w:rPr>
            <w:rStyle w:val="PageNumber"/>
            <w:noProof/>
            <w:lang w:bidi="es-US"/>
          </w:rPr>
          <w:t>1</w:t>
        </w:r>
        <w:r>
          <w:rPr>
            <w:rStyle w:val="PageNumber"/>
            <w:lang w:bidi="es-US"/>
          </w:rPr>
          <w:fldChar w:fldCharType="end"/>
        </w:r>
      </w:p>
    </w:sdtContent>
  </w:sdt>
  <w:p w14:paraId="327E81EF" w14:textId="39C1C29E" w:rsidR="007A0C2B" w:rsidRPr="00447FF7" w:rsidRDefault="007A0C2B" w:rsidP="00447FF7">
    <w:pPr>
      <w:pStyle w:val="Footer"/>
      <w:tabs>
        <w:tab w:val="clear" w:pos="4680"/>
      </w:tabs>
      <w:ind w:right="360"/>
    </w:pPr>
    <w:r>
      <w:rPr>
        <w:lang w:bidi="es-US"/>
      </w:rPr>
      <w:t>[Introduzca el título aquí]</w:t>
    </w:r>
    <w:r>
      <w:rPr>
        <w:lang w:bidi="es-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DFA2" w14:textId="51C78746" w:rsidR="007A0C2B" w:rsidRPr="00436170" w:rsidRDefault="007A0C2B" w:rsidP="00436170">
    <w:pPr>
      <w:pStyle w:val="Footer"/>
      <w:tabs>
        <w:tab w:val="clear" w:pos="4680"/>
        <w:tab w:val="clear" w:pos="9360"/>
        <w:tab w:val="left" w:pos="2160"/>
        <w:tab w:val="right" w:pos="10440"/>
      </w:tabs>
      <w:rPr>
        <w:b/>
        <w:bCs/>
        <w:sz w:val="24"/>
      </w:rPr>
    </w:pPr>
    <w:r w:rsidRPr="00436170">
      <w:rPr>
        <w:sz w:val="24"/>
        <w:lang w:bidi="es-US"/>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41467756"/>
      <w:docPartObj>
        <w:docPartGallery w:val="Page Numbers (Bottom of Page)"/>
        <w:docPartUnique/>
      </w:docPartObj>
    </w:sdtPr>
    <w:sdtContent>
      <w:p w14:paraId="5A6190B4" w14:textId="2502A862" w:rsidR="007A0C2B" w:rsidRDefault="007A0C2B" w:rsidP="007E0C62">
        <w:pPr>
          <w:pStyle w:val="Footer"/>
          <w:framePr w:wrap="none" w:vAnchor="text" w:hAnchor="margin" w:xAlign="right" w:y="1"/>
          <w:rPr>
            <w:rStyle w:val="PageNumber"/>
          </w:rPr>
        </w:pPr>
        <w:r>
          <w:rPr>
            <w:rStyle w:val="PageNumber"/>
            <w:lang w:bidi="es-US"/>
          </w:rPr>
          <w:fldChar w:fldCharType="begin"/>
        </w:r>
        <w:r>
          <w:rPr>
            <w:rStyle w:val="PageNumber"/>
            <w:lang w:bidi="es-US"/>
          </w:rPr>
          <w:instrText xml:space="preserve"> PAGE </w:instrText>
        </w:r>
        <w:r>
          <w:rPr>
            <w:rStyle w:val="PageNumber"/>
            <w:lang w:bidi="es-US"/>
          </w:rPr>
          <w:fldChar w:fldCharType="separate"/>
        </w:r>
        <w:r w:rsidR="009322D5">
          <w:rPr>
            <w:rStyle w:val="PageNumber"/>
            <w:noProof/>
            <w:lang w:bidi="es-US"/>
          </w:rPr>
          <w:t>10</w:t>
        </w:r>
        <w:r>
          <w:rPr>
            <w:rStyle w:val="PageNumber"/>
            <w:lang w:bidi="es-US"/>
          </w:rPr>
          <w:fldChar w:fldCharType="end"/>
        </w:r>
      </w:p>
    </w:sdtContent>
  </w:sdt>
  <w:p w14:paraId="794C0872" w14:textId="3758AE51" w:rsidR="007A0C2B" w:rsidRPr="00BD57BF" w:rsidRDefault="007A0C2B" w:rsidP="00447FF7">
    <w:pPr>
      <w:pStyle w:val="Footer"/>
      <w:tabs>
        <w:tab w:val="clear" w:pos="4680"/>
      </w:tabs>
      <w:ind w:right="360"/>
      <w:rPr>
        <w:sz w:val="20"/>
        <w:szCs w:val="22"/>
      </w:rPr>
    </w:pPr>
    <w:r w:rsidRPr="00BD57BF">
      <w:rPr>
        <w:sz w:val="20"/>
        <w:szCs w:val="22"/>
        <w:lang w:bidi="es-US"/>
      </w:rPr>
      <w:t>Implementación del Plan Olmstead de Carolina del Norte</w:t>
    </w:r>
    <w:r w:rsidRPr="00BD57BF">
      <w:rPr>
        <w:rFonts w:cs="Calibri Light"/>
        <w:sz w:val="20"/>
        <w:szCs w:val="22"/>
        <w:lang w:bidi="es-US"/>
      </w:rPr>
      <w:t>:</w:t>
    </w:r>
    <w:r w:rsidRPr="00BD57BF">
      <w:rPr>
        <w:sz w:val="20"/>
        <w:szCs w:val="22"/>
        <w:lang w:bidi="es-US"/>
      </w:rPr>
      <w:t xml:space="preserve"> informe resumido, del 1 de abril al 30 de junio de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02129" w14:textId="77777777" w:rsidR="006E78A9" w:rsidRDefault="006E78A9" w:rsidP="00E354BB">
      <w:r>
        <w:separator/>
      </w:r>
    </w:p>
  </w:footnote>
  <w:footnote w:type="continuationSeparator" w:id="0">
    <w:p w14:paraId="382EAD7D" w14:textId="77777777" w:rsidR="006E78A9" w:rsidRDefault="006E78A9" w:rsidP="00E354BB">
      <w:r>
        <w:continuationSeparator/>
      </w:r>
    </w:p>
  </w:footnote>
  <w:footnote w:id="1">
    <w:p w14:paraId="5BFCB884" w14:textId="401CDB4B" w:rsidR="002A275E" w:rsidRDefault="002A275E">
      <w:pPr>
        <w:pStyle w:val="FootnoteText"/>
      </w:pPr>
      <w:r>
        <w:rPr>
          <w:rStyle w:val="FootnoteReference"/>
          <w:lang w:bidi="es-US"/>
        </w:rPr>
        <w:footnoteRef/>
      </w:r>
      <w:r>
        <w:rPr>
          <w:lang w:bidi="es-US"/>
        </w:rPr>
        <w:t xml:space="preserve"> Consulte también https://medicaid.ncdhhs.gov/DCW-Initiative.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C4B5D" w14:textId="77777777" w:rsidR="00BD57BF" w:rsidRDefault="00BD57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36F75" w14:textId="77777777" w:rsidR="00BD57BF" w:rsidRDefault="00BD57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2908" w14:textId="50C5ADC8" w:rsidR="007A0C2B" w:rsidRPr="00114EAC" w:rsidRDefault="007A0C2B" w:rsidP="00114EAC">
    <w:pPr>
      <w:pStyle w:val="Header"/>
    </w:pPr>
    <w:r>
      <w:rPr>
        <w:noProof/>
        <w:lang w:bidi="es-US"/>
      </w:rPr>
      <w:drawing>
        <wp:inline distT="0" distB="0" distL="0" distR="0" wp14:anchorId="21EA2A8C" wp14:editId="63EC4D2A">
          <wp:extent cx="7315200" cy="5118100"/>
          <wp:effectExtent l="0" t="0" r="0" b="0"/>
          <wp:docPr id="763913614" name="Picture 763913614" descr="&quot;&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quot;&quot;">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7315200" cy="51181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83810" w14:textId="041FA6BD" w:rsidR="007A0C2B" w:rsidRDefault="007A0C2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42257" w14:textId="574CCC85" w:rsidR="007A0C2B" w:rsidRDefault="007A0C2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0E44" w14:textId="1C83B767" w:rsidR="007A0C2B" w:rsidRDefault="007A0C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E1AEF9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5pt;height:10.75pt" o:bullet="t">
        <v:imagedata r:id="rId1" o:title="green_link"/>
      </v:shape>
    </w:pict>
  </w:numPicBullet>
  <w:abstractNum w:abstractNumId="0" w15:restartNumberingAfterBreak="0">
    <w:nsid w:val="FFFFFF81"/>
    <w:multiLevelType w:val="singleLevel"/>
    <w:tmpl w:val="E11EBB5C"/>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46DCF600"/>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4C84B6F4"/>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883AAD68"/>
    <w:lvl w:ilvl="0">
      <w:start w:val="1"/>
      <w:numFmt w:val="bullet"/>
      <w:pStyle w:val="ListBullet"/>
      <w:lvlText w:val=""/>
      <w:lvlJc w:val="left"/>
      <w:pPr>
        <w:ind w:left="360" w:hanging="360"/>
      </w:pPr>
      <w:rPr>
        <w:rFonts w:ascii="Wingdings" w:hAnsi="Wingdings" w:hint="default"/>
      </w:rPr>
    </w:lvl>
  </w:abstractNum>
  <w:abstractNum w:abstractNumId="4" w15:restartNumberingAfterBreak="0">
    <w:nsid w:val="008E677E"/>
    <w:multiLevelType w:val="multilevel"/>
    <w:tmpl w:val="3CE2193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0A910BA"/>
    <w:multiLevelType w:val="multilevel"/>
    <w:tmpl w:val="84D8C602"/>
    <w:lvl w:ilvl="0">
      <w:start w:val="1"/>
      <w:numFmt w:val="bullet"/>
      <w:lvlText w:val="•"/>
      <w:lvlJc w:val="left"/>
      <w:pPr>
        <w:tabs>
          <w:tab w:val="num" w:pos="720"/>
        </w:tabs>
        <w:ind w:left="720" w:hanging="360"/>
      </w:pPr>
      <w:rPr>
        <w:rFonts w:ascii="Arial" w:hAnsi="Aria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24E0D89"/>
    <w:multiLevelType w:val="hybridMultilevel"/>
    <w:tmpl w:val="E50C8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1D4392"/>
    <w:multiLevelType w:val="hybridMultilevel"/>
    <w:tmpl w:val="F69A13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BF7E4C"/>
    <w:multiLevelType w:val="multilevel"/>
    <w:tmpl w:val="0166E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84610C"/>
    <w:multiLevelType w:val="multilevel"/>
    <w:tmpl w:val="97D672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09F655B"/>
    <w:multiLevelType w:val="hybridMultilevel"/>
    <w:tmpl w:val="1C683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386C8A"/>
    <w:multiLevelType w:val="hybridMultilevel"/>
    <w:tmpl w:val="877E83DE"/>
    <w:lvl w:ilvl="0" w:tplc="7C66D67A">
      <w:start w:val="1"/>
      <w:numFmt w:val="bullet"/>
      <w:lvlText w:val="•"/>
      <w:lvlJc w:val="left"/>
      <w:pPr>
        <w:tabs>
          <w:tab w:val="num" w:pos="720"/>
        </w:tabs>
        <w:ind w:left="720" w:hanging="360"/>
      </w:pPr>
      <w:rPr>
        <w:rFonts w:ascii="Arial" w:hAnsi="Arial" w:hint="default"/>
      </w:rPr>
    </w:lvl>
    <w:lvl w:ilvl="1" w:tplc="87B4A1F0" w:tentative="1">
      <w:start w:val="1"/>
      <w:numFmt w:val="bullet"/>
      <w:lvlText w:val="•"/>
      <w:lvlJc w:val="left"/>
      <w:pPr>
        <w:tabs>
          <w:tab w:val="num" w:pos="1440"/>
        </w:tabs>
        <w:ind w:left="1440" w:hanging="360"/>
      </w:pPr>
      <w:rPr>
        <w:rFonts w:ascii="Arial" w:hAnsi="Arial" w:hint="default"/>
      </w:rPr>
    </w:lvl>
    <w:lvl w:ilvl="2" w:tplc="F4B0AFCE" w:tentative="1">
      <w:start w:val="1"/>
      <w:numFmt w:val="bullet"/>
      <w:lvlText w:val="•"/>
      <w:lvlJc w:val="left"/>
      <w:pPr>
        <w:tabs>
          <w:tab w:val="num" w:pos="2160"/>
        </w:tabs>
        <w:ind w:left="2160" w:hanging="360"/>
      </w:pPr>
      <w:rPr>
        <w:rFonts w:ascii="Arial" w:hAnsi="Arial" w:hint="default"/>
      </w:rPr>
    </w:lvl>
    <w:lvl w:ilvl="3" w:tplc="160AEBF4" w:tentative="1">
      <w:start w:val="1"/>
      <w:numFmt w:val="bullet"/>
      <w:lvlText w:val="•"/>
      <w:lvlJc w:val="left"/>
      <w:pPr>
        <w:tabs>
          <w:tab w:val="num" w:pos="2880"/>
        </w:tabs>
        <w:ind w:left="2880" w:hanging="360"/>
      </w:pPr>
      <w:rPr>
        <w:rFonts w:ascii="Arial" w:hAnsi="Arial" w:hint="default"/>
      </w:rPr>
    </w:lvl>
    <w:lvl w:ilvl="4" w:tplc="A406F426" w:tentative="1">
      <w:start w:val="1"/>
      <w:numFmt w:val="bullet"/>
      <w:lvlText w:val="•"/>
      <w:lvlJc w:val="left"/>
      <w:pPr>
        <w:tabs>
          <w:tab w:val="num" w:pos="3600"/>
        </w:tabs>
        <w:ind w:left="3600" w:hanging="360"/>
      </w:pPr>
      <w:rPr>
        <w:rFonts w:ascii="Arial" w:hAnsi="Arial" w:hint="default"/>
      </w:rPr>
    </w:lvl>
    <w:lvl w:ilvl="5" w:tplc="0682E992" w:tentative="1">
      <w:start w:val="1"/>
      <w:numFmt w:val="bullet"/>
      <w:lvlText w:val="•"/>
      <w:lvlJc w:val="left"/>
      <w:pPr>
        <w:tabs>
          <w:tab w:val="num" w:pos="4320"/>
        </w:tabs>
        <w:ind w:left="4320" w:hanging="360"/>
      </w:pPr>
      <w:rPr>
        <w:rFonts w:ascii="Arial" w:hAnsi="Arial" w:hint="default"/>
      </w:rPr>
    </w:lvl>
    <w:lvl w:ilvl="6" w:tplc="060EB09A" w:tentative="1">
      <w:start w:val="1"/>
      <w:numFmt w:val="bullet"/>
      <w:lvlText w:val="•"/>
      <w:lvlJc w:val="left"/>
      <w:pPr>
        <w:tabs>
          <w:tab w:val="num" w:pos="5040"/>
        </w:tabs>
        <w:ind w:left="5040" w:hanging="360"/>
      </w:pPr>
      <w:rPr>
        <w:rFonts w:ascii="Arial" w:hAnsi="Arial" w:hint="default"/>
      </w:rPr>
    </w:lvl>
    <w:lvl w:ilvl="7" w:tplc="890AB8EC" w:tentative="1">
      <w:start w:val="1"/>
      <w:numFmt w:val="bullet"/>
      <w:lvlText w:val="•"/>
      <w:lvlJc w:val="left"/>
      <w:pPr>
        <w:tabs>
          <w:tab w:val="num" w:pos="5760"/>
        </w:tabs>
        <w:ind w:left="5760" w:hanging="360"/>
      </w:pPr>
      <w:rPr>
        <w:rFonts w:ascii="Arial" w:hAnsi="Arial" w:hint="default"/>
      </w:rPr>
    </w:lvl>
    <w:lvl w:ilvl="8" w:tplc="C34CB1B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44D0637"/>
    <w:multiLevelType w:val="hybridMultilevel"/>
    <w:tmpl w:val="F94C76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241440A"/>
    <w:multiLevelType w:val="multilevel"/>
    <w:tmpl w:val="4BD22B00"/>
    <w:styleLink w:val="StyleListLinkOutlinenumberedSymbolsymbol13pt"/>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sz w:val="26"/>
      </w:rPr>
    </w:lvl>
    <w:lvl w:ilvl="2">
      <w:start w:val="1"/>
      <w:numFmt w:val="bullet"/>
      <w:lvlText w:val=""/>
      <w:lvlPicBulletId w:val="0"/>
      <w:lvlJc w:val="left"/>
      <w:pPr>
        <w:ind w:left="1080" w:hanging="360"/>
      </w:pPr>
      <w:rPr>
        <w:rFonts w:ascii="Symbol" w:hAnsi="Symbol" w:hint="default"/>
        <w:sz w:val="26"/>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270E70E8"/>
    <w:multiLevelType w:val="multilevel"/>
    <w:tmpl w:val="18DC1216"/>
    <w:lvl w:ilvl="0">
      <w:start w:val="1"/>
      <w:numFmt w:val="none"/>
      <w:pStyle w:val="ParagraphbeforeNumberedList"/>
      <w:lvlText w:val=""/>
      <w:lvlJc w:val="left"/>
      <w:pPr>
        <w:tabs>
          <w:tab w:val="num" w:pos="0"/>
        </w:tabs>
        <w:ind w:left="0" w:firstLine="0"/>
      </w:pPr>
      <w:rPr>
        <w:rFonts w:hint="default"/>
      </w:rPr>
    </w:lvl>
    <w:lvl w:ilvl="1">
      <w:start w:val="1"/>
      <w:numFmt w:val="decimal"/>
      <w:pStyle w:val="ListNumber"/>
      <w:lvlText w:val="%2."/>
      <w:lvlJc w:val="left"/>
      <w:pPr>
        <w:tabs>
          <w:tab w:val="num" w:pos="360"/>
        </w:tabs>
        <w:ind w:left="360" w:hanging="360"/>
      </w:pPr>
      <w:rPr>
        <w:rFonts w:hint="default"/>
      </w:rPr>
    </w:lvl>
    <w:lvl w:ilvl="2">
      <w:start w:val="1"/>
      <w:numFmt w:val="lowerLetter"/>
      <w:pStyle w:val="ListNumber2"/>
      <w:lvlText w:val="%3."/>
      <w:lvlJc w:val="left"/>
      <w:pPr>
        <w:tabs>
          <w:tab w:val="num" w:pos="720"/>
        </w:tabs>
        <w:ind w:left="720" w:hanging="360"/>
      </w:pPr>
      <w:rPr>
        <w:rFonts w:hint="default"/>
      </w:rPr>
    </w:lvl>
    <w:lvl w:ilvl="3">
      <w:start w:val="1"/>
      <w:numFmt w:val="lowerRoman"/>
      <w:pStyle w:val="ListNumber3"/>
      <w:lvlText w:val="%4."/>
      <w:lvlJc w:val="left"/>
      <w:pPr>
        <w:tabs>
          <w:tab w:val="num" w:pos="1080"/>
        </w:tabs>
        <w:ind w:left="1080" w:hanging="360"/>
      </w:pPr>
      <w:rPr>
        <w:rFonts w:hint="default"/>
      </w:rPr>
    </w:lvl>
    <w:lvl w:ilvl="4">
      <w:start w:val="1"/>
      <w:numFmt w:val="bullet"/>
      <w:pStyle w:val="ListNumber4"/>
      <w:lvlText w:val="§"/>
      <w:lvlJc w:val="left"/>
      <w:pPr>
        <w:tabs>
          <w:tab w:val="num" w:pos="1440"/>
        </w:tabs>
        <w:ind w:left="1440" w:hanging="360"/>
      </w:pPr>
      <w:rPr>
        <w:rFonts w:ascii="Wingdings" w:hAnsi="Wingdings" w:hint="default"/>
      </w:rPr>
    </w:lvl>
    <w:lvl w:ilvl="5">
      <w:start w:val="1"/>
      <w:numFmt w:val="bullet"/>
      <w:pStyle w:val="ListNumber5"/>
      <w:lvlText w:val=""/>
      <w:lvlJc w:val="left"/>
      <w:pPr>
        <w:tabs>
          <w:tab w:val="num" w:pos="1800"/>
        </w:tabs>
        <w:ind w:left="1800" w:hanging="360"/>
      </w:pPr>
      <w:rPr>
        <w:rFonts w:ascii="Symbol" w:hAnsi="Symbol" w:hint="default"/>
      </w:rPr>
    </w:lvl>
    <w:lvl w:ilvl="6">
      <w:start w:val="1"/>
      <w:numFmt w:val="bullet"/>
      <w:lvlText w:val=""/>
      <w:lvlJc w:val="left"/>
      <w:pPr>
        <w:tabs>
          <w:tab w:val="num" w:pos="2160"/>
        </w:tabs>
        <w:ind w:left="2160" w:hanging="360"/>
      </w:pPr>
      <w:rPr>
        <w:rFonts w:ascii="Symbol" w:hAnsi="Symbol" w:hint="default"/>
      </w:rPr>
    </w:lvl>
    <w:lvl w:ilvl="7">
      <w:start w:val="1"/>
      <w:numFmt w:val="bullet"/>
      <w:lvlText w:val="o"/>
      <w:lvlJc w:val="left"/>
      <w:pPr>
        <w:tabs>
          <w:tab w:val="num" w:pos="2520"/>
        </w:tabs>
        <w:ind w:left="2520" w:hanging="360"/>
      </w:pPr>
      <w:rPr>
        <w:rFonts w:ascii="Courier New" w:hAnsi="Courier New" w:hint="default"/>
      </w:rPr>
    </w:lvl>
    <w:lvl w:ilvl="8">
      <w:start w:val="1"/>
      <w:numFmt w:val="bullet"/>
      <w:lvlText w:val=""/>
      <w:lvlJc w:val="left"/>
      <w:pPr>
        <w:tabs>
          <w:tab w:val="num" w:pos="2880"/>
        </w:tabs>
        <w:ind w:left="2880" w:hanging="360"/>
      </w:pPr>
      <w:rPr>
        <w:rFonts w:ascii="Wingdings" w:hAnsi="Wingdings" w:hint="default"/>
      </w:rPr>
    </w:lvl>
  </w:abstractNum>
  <w:abstractNum w:abstractNumId="15" w15:restartNumberingAfterBreak="0">
    <w:nsid w:val="27760EC5"/>
    <w:multiLevelType w:val="multilevel"/>
    <w:tmpl w:val="6BCCD57C"/>
    <w:styleLink w:val="ListMultitier"/>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6" w15:restartNumberingAfterBreak="0">
    <w:nsid w:val="2A426E99"/>
    <w:multiLevelType w:val="hybridMultilevel"/>
    <w:tmpl w:val="7BA01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C3442E"/>
    <w:multiLevelType w:val="hybridMultilevel"/>
    <w:tmpl w:val="9556B04E"/>
    <w:lvl w:ilvl="0" w:tplc="3DD2360C">
      <w:start w:val="1"/>
      <w:numFmt w:val="bullet"/>
      <w:lvlText w:val="•"/>
      <w:lvlJc w:val="left"/>
      <w:pPr>
        <w:tabs>
          <w:tab w:val="num" w:pos="720"/>
        </w:tabs>
        <w:ind w:left="720" w:hanging="360"/>
      </w:pPr>
      <w:rPr>
        <w:rFonts w:ascii="Arial" w:hAnsi="Arial" w:hint="default"/>
      </w:rPr>
    </w:lvl>
    <w:lvl w:ilvl="1" w:tplc="DAF229AA" w:tentative="1">
      <w:start w:val="1"/>
      <w:numFmt w:val="bullet"/>
      <w:lvlText w:val="•"/>
      <w:lvlJc w:val="left"/>
      <w:pPr>
        <w:tabs>
          <w:tab w:val="num" w:pos="1440"/>
        </w:tabs>
        <w:ind w:left="1440" w:hanging="360"/>
      </w:pPr>
      <w:rPr>
        <w:rFonts w:ascii="Arial" w:hAnsi="Arial" w:hint="default"/>
      </w:rPr>
    </w:lvl>
    <w:lvl w:ilvl="2" w:tplc="EA08F25C" w:tentative="1">
      <w:start w:val="1"/>
      <w:numFmt w:val="bullet"/>
      <w:lvlText w:val="•"/>
      <w:lvlJc w:val="left"/>
      <w:pPr>
        <w:tabs>
          <w:tab w:val="num" w:pos="2160"/>
        </w:tabs>
        <w:ind w:left="2160" w:hanging="360"/>
      </w:pPr>
      <w:rPr>
        <w:rFonts w:ascii="Arial" w:hAnsi="Arial" w:hint="default"/>
      </w:rPr>
    </w:lvl>
    <w:lvl w:ilvl="3" w:tplc="5DE8E9CE" w:tentative="1">
      <w:start w:val="1"/>
      <w:numFmt w:val="bullet"/>
      <w:lvlText w:val="•"/>
      <w:lvlJc w:val="left"/>
      <w:pPr>
        <w:tabs>
          <w:tab w:val="num" w:pos="2880"/>
        </w:tabs>
        <w:ind w:left="2880" w:hanging="360"/>
      </w:pPr>
      <w:rPr>
        <w:rFonts w:ascii="Arial" w:hAnsi="Arial" w:hint="default"/>
      </w:rPr>
    </w:lvl>
    <w:lvl w:ilvl="4" w:tplc="0E10C70A" w:tentative="1">
      <w:start w:val="1"/>
      <w:numFmt w:val="bullet"/>
      <w:lvlText w:val="•"/>
      <w:lvlJc w:val="left"/>
      <w:pPr>
        <w:tabs>
          <w:tab w:val="num" w:pos="3600"/>
        </w:tabs>
        <w:ind w:left="3600" w:hanging="360"/>
      </w:pPr>
      <w:rPr>
        <w:rFonts w:ascii="Arial" w:hAnsi="Arial" w:hint="default"/>
      </w:rPr>
    </w:lvl>
    <w:lvl w:ilvl="5" w:tplc="604A6FE0" w:tentative="1">
      <w:start w:val="1"/>
      <w:numFmt w:val="bullet"/>
      <w:lvlText w:val="•"/>
      <w:lvlJc w:val="left"/>
      <w:pPr>
        <w:tabs>
          <w:tab w:val="num" w:pos="4320"/>
        </w:tabs>
        <w:ind w:left="4320" w:hanging="360"/>
      </w:pPr>
      <w:rPr>
        <w:rFonts w:ascii="Arial" w:hAnsi="Arial" w:hint="default"/>
      </w:rPr>
    </w:lvl>
    <w:lvl w:ilvl="6" w:tplc="474EF522" w:tentative="1">
      <w:start w:val="1"/>
      <w:numFmt w:val="bullet"/>
      <w:lvlText w:val="•"/>
      <w:lvlJc w:val="left"/>
      <w:pPr>
        <w:tabs>
          <w:tab w:val="num" w:pos="5040"/>
        </w:tabs>
        <w:ind w:left="5040" w:hanging="360"/>
      </w:pPr>
      <w:rPr>
        <w:rFonts w:ascii="Arial" w:hAnsi="Arial" w:hint="default"/>
      </w:rPr>
    </w:lvl>
    <w:lvl w:ilvl="7" w:tplc="ABCE703A" w:tentative="1">
      <w:start w:val="1"/>
      <w:numFmt w:val="bullet"/>
      <w:lvlText w:val="•"/>
      <w:lvlJc w:val="left"/>
      <w:pPr>
        <w:tabs>
          <w:tab w:val="num" w:pos="5760"/>
        </w:tabs>
        <w:ind w:left="5760" w:hanging="360"/>
      </w:pPr>
      <w:rPr>
        <w:rFonts w:ascii="Arial" w:hAnsi="Arial" w:hint="default"/>
      </w:rPr>
    </w:lvl>
    <w:lvl w:ilvl="8" w:tplc="DB90AB6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AF53996"/>
    <w:multiLevelType w:val="multilevel"/>
    <w:tmpl w:val="F9C24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325BFD"/>
    <w:multiLevelType w:val="hybridMultilevel"/>
    <w:tmpl w:val="886292F4"/>
    <w:lvl w:ilvl="0" w:tplc="3F46D248">
      <w:start w:val="1"/>
      <w:numFmt w:val="bullet"/>
      <w:lvlText w:val=""/>
      <w:lvlJc w:val="left"/>
      <w:pPr>
        <w:tabs>
          <w:tab w:val="num" w:pos="720"/>
        </w:tabs>
        <w:ind w:left="720" w:hanging="360"/>
      </w:pPr>
      <w:rPr>
        <w:rFonts w:ascii="Wingdings" w:hAnsi="Wingdings" w:hint="default"/>
      </w:rPr>
    </w:lvl>
    <w:lvl w:ilvl="1" w:tplc="8E4C930E">
      <w:numFmt w:val="bullet"/>
      <w:lvlText w:val="‣"/>
      <w:lvlJc w:val="left"/>
      <w:pPr>
        <w:tabs>
          <w:tab w:val="num" w:pos="1440"/>
        </w:tabs>
        <w:ind w:left="1440" w:hanging="360"/>
      </w:pPr>
      <w:rPr>
        <w:rFonts w:ascii="Times New Roman" w:hAnsi="Times New Roman" w:hint="default"/>
      </w:rPr>
    </w:lvl>
    <w:lvl w:ilvl="2" w:tplc="24426804" w:tentative="1">
      <w:start w:val="1"/>
      <w:numFmt w:val="bullet"/>
      <w:lvlText w:val=""/>
      <w:lvlJc w:val="left"/>
      <w:pPr>
        <w:tabs>
          <w:tab w:val="num" w:pos="2160"/>
        </w:tabs>
        <w:ind w:left="2160" w:hanging="360"/>
      </w:pPr>
      <w:rPr>
        <w:rFonts w:ascii="Wingdings" w:hAnsi="Wingdings" w:hint="default"/>
      </w:rPr>
    </w:lvl>
    <w:lvl w:ilvl="3" w:tplc="F8521114" w:tentative="1">
      <w:start w:val="1"/>
      <w:numFmt w:val="bullet"/>
      <w:lvlText w:val=""/>
      <w:lvlJc w:val="left"/>
      <w:pPr>
        <w:tabs>
          <w:tab w:val="num" w:pos="2880"/>
        </w:tabs>
        <w:ind w:left="2880" w:hanging="360"/>
      </w:pPr>
      <w:rPr>
        <w:rFonts w:ascii="Wingdings" w:hAnsi="Wingdings" w:hint="default"/>
      </w:rPr>
    </w:lvl>
    <w:lvl w:ilvl="4" w:tplc="ABE874FE" w:tentative="1">
      <w:start w:val="1"/>
      <w:numFmt w:val="bullet"/>
      <w:lvlText w:val=""/>
      <w:lvlJc w:val="left"/>
      <w:pPr>
        <w:tabs>
          <w:tab w:val="num" w:pos="3600"/>
        </w:tabs>
        <w:ind w:left="3600" w:hanging="360"/>
      </w:pPr>
      <w:rPr>
        <w:rFonts w:ascii="Wingdings" w:hAnsi="Wingdings" w:hint="default"/>
      </w:rPr>
    </w:lvl>
    <w:lvl w:ilvl="5" w:tplc="A4887134" w:tentative="1">
      <w:start w:val="1"/>
      <w:numFmt w:val="bullet"/>
      <w:lvlText w:val=""/>
      <w:lvlJc w:val="left"/>
      <w:pPr>
        <w:tabs>
          <w:tab w:val="num" w:pos="4320"/>
        </w:tabs>
        <w:ind w:left="4320" w:hanging="360"/>
      </w:pPr>
      <w:rPr>
        <w:rFonts w:ascii="Wingdings" w:hAnsi="Wingdings" w:hint="default"/>
      </w:rPr>
    </w:lvl>
    <w:lvl w:ilvl="6" w:tplc="334417A0" w:tentative="1">
      <w:start w:val="1"/>
      <w:numFmt w:val="bullet"/>
      <w:lvlText w:val=""/>
      <w:lvlJc w:val="left"/>
      <w:pPr>
        <w:tabs>
          <w:tab w:val="num" w:pos="5040"/>
        </w:tabs>
        <w:ind w:left="5040" w:hanging="360"/>
      </w:pPr>
      <w:rPr>
        <w:rFonts w:ascii="Wingdings" w:hAnsi="Wingdings" w:hint="default"/>
      </w:rPr>
    </w:lvl>
    <w:lvl w:ilvl="7" w:tplc="ADA03FC6" w:tentative="1">
      <w:start w:val="1"/>
      <w:numFmt w:val="bullet"/>
      <w:lvlText w:val=""/>
      <w:lvlJc w:val="left"/>
      <w:pPr>
        <w:tabs>
          <w:tab w:val="num" w:pos="5760"/>
        </w:tabs>
        <w:ind w:left="5760" w:hanging="360"/>
      </w:pPr>
      <w:rPr>
        <w:rFonts w:ascii="Wingdings" w:hAnsi="Wingdings" w:hint="default"/>
      </w:rPr>
    </w:lvl>
    <w:lvl w:ilvl="8" w:tplc="17C2DB6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207758"/>
    <w:multiLevelType w:val="multilevel"/>
    <w:tmpl w:val="808A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2102DA"/>
    <w:multiLevelType w:val="multilevel"/>
    <w:tmpl w:val="A2AC48CE"/>
    <w:styleLink w:val="Style1"/>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360"/>
      </w:pPr>
      <w:rPr>
        <w:rFonts w:hint="default"/>
      </w:rPr>
    </w:lvl>
  </w:abstractNum>
  <w:abstractNum w:abstractNumId="22" w15:restartNumberingAfterBreak="0">
    <w:nsid w:val="325E0A14"/>
    <w:multiLevelType w:val="multilevel"/>
    <w:tmpl w:val="3E1AE4E6"/>
    <w:styleLink w:val="ListLink"/>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sz w:val="26"/>
      </w:rPr>
    </w:lvl>
    <w:lvl w:ilvl="2">
      <w:start w:val="1"/>
      <w:numFmt w:val="bullet"/>
      <w:lvlText w:val=""/>
      <w:lvlPicBulletId w:val="0"/>
      <w:lvlJc w:val="left"/>
      <w:pPr>
        <w:ind w:left="1080" w:hanging="360"/>
      </w:pPr>
      <w:rPr>
        <w:rFonts w:ascii="Symbol" w:hAnsi="Symbol"/>
        <w:sz w:val="26"/>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23" w15:restartNumberingAfterBreak="0">
    <w:nsid w:val="32923AEC"/>
    <w:multiLevelType w:val="hybridMultilevel"/>
    <w:tmpl w:val="3ED83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2A7422"/>
    <w:multiLevelType w:val="multilevel"/>
    <w:tmpl w:val="12DC0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FF3D7C"/>
    <w:multiLevelType w:val="hybridMultilevel"/>
    <w:tmpl w:val="05CEF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4C7EAC"/>
    <w:multiLevelType w:val="multilevel"/>
    <w:tmpl w:val="D97C1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3A746C"/>
    <w:multiLevelType w:val="multilevel"/>
    <w:tmpl w:val="57804552"/>
    <w:styleLink w:val="Style2"/>
    <w:lvl w:ilvl="0">
      <w:start w:val="1"/>
      <w:numFmt w:val="decimal"/>
      <w:lvlText w:val="%1."/>
      <w:lvlJc w:val="left"/>
      <w:pPr>
        <w:ind w:left="360" w:hanging="360"/>
      </w:pPr>
      <w:rPr>
        <w:rFonts w:hint="default"/>
        <w:color w:val="auto"/>
        <w:sz w:val="22"/>
      </w:rPr>
    </w:lvl>
    <w:lvl w:ilvl="1">
      <w:start w:val="1"/>
      <w:numFmt w:val="lowerLetter"/>
      <w:lvlText w:val="%2."/>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28" w15:restartNumberingAfterBreak="0">
    <w:nsid w:val="4A921A5D"/>
    <w:multiLevelType w:val="multilevel"/>
    <w:tmpl w:val="2CD44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2C59BA"/>
    <w:multiLevelType w:val="hybridMultilevel"/>
    <w:tmpl w:val="13C60E04"/>
    <w:lvl w:ilvl="0" w:tplc="EE5CE8AC">
      <w:start w:val="1"/>
      <w:numFmt w:val="bullet"/>
      <w:lvlText w:val="•"/>
      <w:lvlJc w:val="left"/>
      <w:pPr>
        <w:tabs>
          <w:tab w:val="num" w:pos="720"/>
        </w:tabs>
        <w:ind w:left="720" w:hanging="360"/>
      </w:pPr>
      <w:rPr>
        <w:rFonts w:ascii="Arial" w:hAnsi="Arial" w:hint="default"/>
      </w:rPr>
    </w:lvl>
    <w:lvl w:ilvl="1" w:tplc="BD7819E0" w:tentative="1">
      <w:start w:val="1"/>
      <w:numFmt w:val="bullet"/>
      <w:lvlText w:val="•"/>
      <w:lvlJc w:val="left"/>
      <w:pPr>
        <w:tabs>
          <w:tab w:val="num" w:pos="1440"/>
        </w:tabs>
        <w:ind w:left="1440" w:hanging="360"/>
      </w:pPr>
      <w:rPr>
        <w:rFonts w:ascii="Arial" w:hAnsi="Arial" w:hint="default"/>
      </w:rPr>
    </w:lvl>
    <w:lvl w:ilvl="2" w:tplc="F892BD92" w:tentative="1">
      <w:start w:val="1"/>
      <w:numFmt w:val="bullet"/>
      <w:lvlText w:val="•"/>
      <w:lvlJc w:val="left"/>
      <w:pPr>
        <w:tabs>
          <w:tab w:val="num" w:pos="2160"/>
        </w:tabs>
        <w:ind w:left="2160" w:hanging="360"/>
      </w:pPr>
      <w:rPr>
        <w:rFonts w:ascii="Arial" w:hAnsi="Arial" w:hint="default"/>
      </w:rPr>
    </w:lvl>
    <w:lvl w:ilvl="3" w:tplc="281042F6" w:tentative="1">
      <w:start w:val="1"/>
      <w:numFmt w:val="bullet"/>
      <w:lvlText w:val="•"/>
      <w:lvlJc w:val="left"/>
      <w:pPr>
        <w:tabs>
          <w:tab w:val="num" w:pos="2880"/>
        </w:tabs>
        <w:ind w:left="2880" w:hanging="360"/>
      </w:pPr>
      <w:rPr>
        <w:rFonts w:ascii="Arial" w:hAnsi="Arial" w:hint="default"/>
      </w:rPr>
    </w:lvl>
    <w:lvl w:ilvl="4" w:tplc="583EAE5A" w:tentative="1">
      <w:start w:val="1"/>
      <w:numFmt w:val="bullet"/>
      <w:lvlText w:val="•"/>
      <w:lvlJc w:val="left"/>
      <w:pPr>
        <w:tabs>
          <w:tab w:val="num" w:pos="3600"/>
        </w:tabs>
        <w:ind w:left="3600" w:hanging="360"/>
      </w:pPr>
      <w:rPr>
        <w:rFonts w:ascii="Arial" w:hAnsi="Arial" w:hint="default"/>
      </w:rPr>
    </w:lvl>
    <w:lvl w:ilvl="5" w:tplc="2E12EC18" w:tentative="1">
      <w:start w:val="1"/>
      <w:numFmt w:val="bullet"/>
      <w:lvlText w:val="•"/>
      <w:lvlJc w:val="left"/>
      <w:pPr>
        <w:tabs>
          <w:tab w:val="num" w:pos="4320"/>
        </w:tabs>
        <w:ind w:left="4320" w:hanging="360"/>
      </w:pPr>
      <w:rPr>
        <w:rFonts w:ascii="Arial" w:hAnsi="Arial" w:hint="default"/>
      </w:rPr>
    </w:lvl>
    <w:lvl w:ilvl="6" w:tplc="E8687C98" w:tentative="1">
      <w:start w:val="1"/>
      <w:numFmt w:val="bullet"/>
      <w:lvlText w:val="•"/>
      <w:lvlJc w:val="left"/>
      <w:pPr>
        <w:tabs>
          <w:tab w:val="num" w:pos="5040"/>
        </w:tabs>
        <w:ind w:left="5040" w:hanging="360"/>
      </w:pPr>
      <w:rPr>
        <w:rFonts w:ascii="Arial" w:hAnsi="Arial" w:hint="default"/>
      </w:rPr>
    </w:lvl>
    <w:lvl w:ilvl="7" w:tplc="5A9CAA24" w:tentative="1">
      <w:start w:val="1"/>
      <w:numFmt w:val="bullet"/>
      <w:lvlText w:val="•"/>
      <w:lvlJc w:val="left"/>
      <w:pPr>
        <w:tabs>
          <w:tab w:val="num" w:pos="5760"/>
        </w:tabs>
        <w:ind w:left="5760" w:hanging="360"/>
      </w:pPr>
      <w:rPr>
        <w:rFonts w:ascii="Arial" w:hAnsi="Arial" w:hint="default"/>
      </w:rPr>
    </w:lvl>
    <w:lvl w:ilvl="8" w:tplc="A562260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40A5302"/>
    <w:multiLevelType w:val="hybridMultilevel"/>
    <w:tmpl w:val="919A63F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52503162">
      <w:numFmt w:val="bullet"/>
      <w:lvlText w:val=""/>
      <w:lvlJc w:val="left"/>
      <w:pPr>
        <w:tabs>
          <w:tab w:val="num" w:pos="1800"/>
        </w:tabs>
        <w:ind w:left="1800" w:hanging="360"/>
      </w:pPr>
      <w:rPr>
        <w:rFonts w:ascii="Symbol" w:hAnsi="Symbol" w:hint="default"/>
      </w:rPr>
    </w:lvl>
    <w:lvl w:ilvl="3" w:tplc="0B16C024" w:tentative="1">
      <w:start w:val="1"/>
      <w:numFmt w:val="bullet"/>
      <w:lvlText w:val=""/>
      <w:lvlJc w:val="left"/>
      <w:pPr>
        <w:tabs>
          <w:tab w:val="num" w:pos="2520"/>
        </w:tabs>
        <w:ind w:left="2520" w:hanging="360"/>
      </w:pPr>
      <w:rPr>
        <w:rFonts w:ascii="Wingdings" w:hAnsi="Wingdings" w:hint="default"/>
      </w:rPr>
    </w:lvl>
    <w:lvl w:ilvl="4" w:tplc="C5640BA6" w:tentative="1">
      <w:start w:val="1"/>
      <w:numFmt w:val="bullet"/>
      <w:lvlText w:val=""/>
      <w:lvlJc w:val="left"/>
      <w:pPr>
        <w:tabs>
          <w:tab w:val="num" w:pos="3240"/>
        </w:tabs>
        <w:ind w:left="3240" w:hanging="360"/>
      </w:pPr>
      <w:rPr>
        <w:rFonts w:ascii="Wingdings" w:hAnsi="Wingdings" w:hint="default"/>
      </w:rPr>
    </w:lvl>
    <w:lvl w:ilvl="5" w:tplc="25489054" w:tentative="1">
      <w:start w:val="1"/>
      <w:numFmt w:val="bullet"/>
      <w:lvlText w:val=""/>
      <w:lvlJc w:val="left"/>
      <w:pPr>
        <w:tabs>
          <w:tab w:val="num" w:pos="3960"/>
        </w:tabs>
        <w:ind w:left="3960" w:hanging="360"/>
      </w:pPr>
      <w:rPr>
        <w:rFonts w:ascii="Wingdings" w:hAnsi="Wingdings" w:hint="default"/>
      </w:rPr>
    </w:lvl>
    <w:lvl w:ilvl="6" w:tplc="48122BA4" w:tentative="1">
      <w:start w:val="1"/>
      <w:numFmt w:val="bullet"/>
      <w:lvlText w:val=""/>
      <w:lvlJc w:val="left"/>
      <w:pPr>
        <w:tabs>
          <w:tab w:val="num" w:pos="4680"/>
        </w:tabs>
        <w:ind w:left="4680" w:hanging="360"/>
      </w:pPr>
      <w:rPr>
        <w:rFonts w:ascii="Wingdings" w:hAnsi="Wingdings" w:hint="default"/>
      </w:rPr>
    </w:lvl>
    <w:lvl w:ilvl="7" w:tplc="9A1E03E4" w:tentative="1">
      <w:start w:val="1"/>
      <w:numFmt w:val="bullet"/>
      <w:lvlText w:val=""/>
      <w:lvlJc w:val="left"/>
      <w:pPr>
        <w:tabs>
          <w:tab w:val="num" w:pos="5400"/>
        </w:tabs>
        <w:ind w:left="5400" w:hanging="360"/>
      </w:pPr>
      <w:rPr>
        <w:rFonts w:ascii="Wingdings" w:hAnsi="Wingdings" w:hint="default"/>
      </w:rPr>
    </w:lvl>
    <w:lvl w:ilvl="8" w:tplc="B5483FB6"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920601A"/>
    <w:multiLevelType w:val="hybridMultilevel"/>
    <w:tmpl w:val="371E007E"/>
    <w:lvl w:ilvl="0" w:tplc="34DE9AA6">
      <w:start w:val="1"/>
      <w:numFmt w:val="bullet"/>
      <w:lvlText w:val="•"/>
      <w:lvlJc w:val="left"/>
      <w:pPr>
        <w:tabs>
          <w:tab w:val="num" w:pos="720"/>
        </w:tabs>
        <w:ind w:left="720" w:hanging="360"/>
      </w:pPr>
      <w:rPr>
        <w:rFonts w:ascii="Arial" w:hAnsi="Arial" w:hint="default"/>
      </w:rPr>
    </w:lvl>
    <w:lvl w:ilvl="1" w:tplc="794E489C" w:tentative="1">
      <w:start w:val="1"/>
      <w:numFmt w:val="bullet"/>
      <w:lvlText w:val="•"/>
      <w:lvlJc w:val="left"/>
      <w:pPr>
        <w:tabs>
          <w:tab w:val="num" w:pos="1440"/>
        </w:tabs>
        <w:ind w:left="1440" w:hanging="360"/>
      </w:pPr>
      <w:rPr>
        <w:rFonts w:ascii="Arial" w:hAnsi="Arial" w:hint="default"/>
      </w:rPr>
    </w:lvl>
    <w:lvl w:ilvl="2" w:tplc="1B364ABC" w:tentative="1">
      <w:start w:val="1"/>
      <w:numFmt w:val="bullet"/>
      <w:lvlText w:val="•"/>
      <w:lvlJc w:val="left"/>
      <w:pPr>
        <w:tabs>
          <w:tab w:val="num" w:pos="2160"/>
        </w:tabs>
        <w:ind w:left="2160" w:hanging="360"/>
      </w:pPr>
      <w:rPr>
        <w:rFonts w:ascii="Arial" w:hAnsi="Arial" w:hint="default"/>
      </w:rPr>
    </w:lvl>
    <w:lvl w:ilvl="3" w:tplc="85B02C98" w:tentative="1">
      <w:start w:val="1"/>
      <w:numFmt w:val="bullet"/>
      <w:lvlText w:val="•"/>
      <w:lvlJc w:val="left"/>
      <w:pPr>
        <w:tabs>
          <w:tab w:val="num" w:pos="2880"/>
        </w:tabs>
        <w:ind w:left="2880" w:hanging="360"/>
      </w:pPr>
      <w:rPr>
        <w:rFonts w:ascii="Arial" w:hAnsi="Arial" w:hint="default"/>
      </w:rPr>
    </w:lvl>
    <w:lvl w:ilvl="4" w:tplc="3EC472B4" w:tentative="1">
      <w:start w:val="1"/>
      <w:numFmt w:val="bullet"/>
      <w:lvlText w:val="•"/>
      <w:lvlJc w:val="left"/>
      <w:pPr>
        <w:tabs>
          <w:tab w:val="num" w:pos="3600"/>
        </w:tabs>
        <w:ind w:left="3600" w:hanging="360"/>
      </w:pPr>
      <w:rPr>
        <w:rFonts w:ascii="Arial" w:hAnsi="Arial" w:hint="default"/>
      </w:rPr>
    </w:lvl>
    <w:lvl w:ilvl="5" w:tplc="E812A484" w:tentative="1">
      <w:start w:val="1"/>
      <w:numFmt w:val="bullet"/>
      <w:lvlText w:val="•"/>
      <w:lvlJc w:val="left"/>
      <w:pPr>
        <w:tabs>
          <w:tab w:val="num" w:pos="4320"/>
        </w:tabs>
        <w:ind w:left="4320" w:hanging="360"/>
      </w:pPr>
      <w:rPr>
        <w:rFonts w:ascii="Arial" w:hAnsi="Arial" w:hint="default"/>
      </w:rPr>
    </w:lvl>
    <w:lvl w:ilvl="6" w:tplc="00EEF62A" w:tentative="1">
      <w:start w:val="1"/>
      <w:numFmt w:val="bullet"/>
      <w:lvlText w:val="•"/>
      <w:lvlJc w:val="left"/>
      <w:pPr>
        <w:tabs>
          <w:tab w:val="num" w:pos="5040"/>
        </w:tabs>
        <w:ind w:left="5040" w:hanging="360"/>
      </w:pPr>
      <w:rPr>
        <w:rFonts w:ascii="Arial" w:hAnsi="Arial" w:hint="default"/>
      </w:rPr>
    </w:lvl>
    <w:lvl w:ilvl="7" w:tplc="698C8FAA" w:tentative="1">
      <w:start w:val="1"/>
      <w:numFmt w:val="bullet"/>
      <w:lvlText w:val="•"/>
      <w:lvlJc w:val="left"/>
      <w:pPr>
        <w:tabs>
          <w:tab w:val="num" w:pos="5760"/>
        </w:tabs>
        <w:ind w:left="5760" w:hanging="360"/>
      </w:pPr>
      <w:rPr>
        <w:rFonts w:ascii="Arial" w:hAnsi="Arial" w:hint="default"/>
      </w:rPr>
    </w:lvl>
    <w:lvl w:ilvl="8" w:tplc="D8F000F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5BF105E"/>
    <w:multiLevelType w:val="hybridMultilevel"/>
    <w:tmpl w:val="04965A68"/>
    <w:lvl w:ilvl="0" w:tplc="DA7416E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9C295B"/>
    <w:multiLevelType w:val="multilevel"/>
    <w:tmpl w:val="84D8C602"/>
    <w:lvl w:ilvl="0">
      <w:start w:val="1"/>
      <w:numFmt w:val="bullet"/>
      <w:lvlText w:val="•"/>
      <w:lvlJc w:val="left"/>
      <w:pPr>
        <w:tabs>
          <w:tab w:val="num" w:pos="720"/>
        </w:tabs>
        <w:ind w:left="720" w:hanging="360"/>
      </w:pPr>
      <w:rPr>
        <w:rFonts w:ascii="Arial" w:hAnsi="Aria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8944FED"/>
    <w:multiLevelType w:val="hybridMultilevel"/>
    <w:tmpl w:val="F44474F0"/>
    <w:lvl w:ilvl="0" w:tplc="B5F4E3F8">
      <w:start w:val="1"/>
      <w:numFmt w:val="bullet"/>
      <w:lvlText w:val="•"/>
      <w:lvlJc w:val="left"/>
      <w:pPr>
        <w:tabs>
          <w:tab w:val="num" w:pos="720"/>
        </w:tabs>
        <w:ind w:left="720" w:hanging="360"/>
      </w:pPr>
      <w:rPr>
        <w:rFonts w:ascii="Arial" w:hAnsi="Arial" w:hint="default"/>
      </w:rPr>
    </w:lvl>
    <w:lvl w:ilvl="1" w:tplc="2AB2704E" w:tentative="1">
      <w:start w:val="1"/>
      <w:numFmt w:val="bullet"/>
      <w:lvlText w:val="•"/>
      <w:lvlJc w:val="left"/>
      <w:pPr>
        <w:tabs>
          <w:tab w:val="num" w:pos="1440"/>
        </w:tabs>
        <w:ind w:left="1440" w:hanging="360"/>
      </w:pPr>
      <w:rPr>
        <w:rFonts w:ascii="Arial" w:hAnsi="Arial" w:hint="default"/>
      </w:rPr>
    </w:lvl>
    <w:lvl w:ilvl="2" w:tplc="F47A76B4" w:tentative="1">
      <w:start w:val="1"/>
      <w:numFmt w:val="bullet"/>
      <w:lvlText w:val="•"/>
      <w:lvlJc w:val="left"/>
      <w:pPr>
        <w:tabs>
          <w:tab w:val="num" w:pos="2160"/>
        </w:tabs>
        <w:ind w:left="2160" w:hanging="360"/>
      </w:pPr>
      <w:rPr>
        <w:rFonts w:ascii="Arial" w:hAnsi="Arial" w:hint="default"/>
      </w:rPr>
    </w:lvl>
    <w:lvl w:ilvl="3" w:tplc="49CEF770" w:tentative="1">
      <w:start w:val="1"/>
      <w:numFmt w:val="bullet"/>
      <w:lvlText w:val="•"/>
      <w:lvlJc w:val="left"/>
      <w:pPr>
        <w:tabs>
          <w:tab w:val="num" w:pos="2880"/>
        </w:tabs>
        <w:ind w:left="2880" w:hanging="360"/>
      </w:pPr>
      <w:rPr>
        <w:rFonts w:ascii="Arial" w:hAnsi="Arial" w:hint="default"/>
      </w:rPr>
    </w:lvl>
    <w:lvl w:ilvl="4" w:tplc="1F7C46C8" w:tentative="1">
      <w:start w:val="1"/>
      <w:numFmt w:val="bullet"/>
      <w:lvlText w:val="•"/>
      <w:lvlJc w:val="left"/>
      <w:pPr>
        <w:tabs>
          <w:tab w:val="num" w:pos="3600"/>
        </w:tabs>
        <w:ind w:left="3600" w:hanging="360"/>
      </w:pPr>
      <w:rPr>
        <w:rFonts w:ascii="Arial" w:hAnsi="Arial" w:hint="default"/>
      </w:rPr>
    </w:lvl>
    <w:lvl w:ilvl="5" w:tplc="B464EA22" w:tentative="1">
      <w:start w:val="1"/>
      <w:numFmt w:val="bullet"/>
      <w:lvlText w:val="•"/>
      <w:lvlJc w:val="left"/>
      <w:pPr>
        <w:tabs>
          <w:tab w:val="num" w:pos="4320"/>
        </w:tabs>
        <w:ind w:left="4320" w:hanging="360"/>
      </w:pPr>
      <w:rPr>
        <w:rFonts w:ascii="Arial" w:hAnsi="Arial" w:hint="default"/>
      </w:rPr>
    </w:lvl>
    <w:lvl w:ilvl="6" w:tplc="9ACAC3EC" w:tentative="1">
      <w:start w:val="1"/>
      <w:numFmt w:val="bullet"/>
      <w:lvlText w:val="•"/>
      <w:lvlJc w:val="left"/>
      <w:pPr>
        <w:tabs>
          <w:tab w:val="num" w:pos="5040"/>
        </w:tabs>
        <w:ind w:left="5040" w:hanging="360"/>
      </w:pPr>
      <w:rPr>
        <w:rFonts w:ascii="Arial" w:hAnsi="Arial" w:hint="default"/>
      </w:rPr>
    </w:lvl>
    <w:lvl w:ilvl="7" w:tplc="B3987C4A" w:tentative="1">
      <w:start w:val="1"/>
      <w:numFmt w:val="bullet"/>
      <w:lvlText w:val="•"/>
      <w:lvlJc w:val="left"/>
      <w:pPr>
        <w:tabs>
          <w:tab w:val="num" w:pos="5760"/>
        </w:tabs>
        <w:ind w:left="5760" w:hanging="360"/>
      </w:pPr>
      <w:rPr>
        <w:rFonts w:ascii="Arial" w:hAnsi="Arial" w:hint="default"/>
      </w:rPr>
    </w:lvl>
    <w:lvl w:ilvl="8" w:tplc="C0228DA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AEE0828"/>
    <w:multiLevelType w:val="hybridMultilevel"/>
    <w:tmpl w:val="88606F6A"/>
    <w:lvl w:ilvl="0" w:tplc="D8523AD4">
      <w:start w:val="1"/>
      <w:numFmt w:val="bullet"/>
      <w:pStyle w:val="LinkBullet"/>
      <w:lvlText w:val=""/>
      <w:lvlPicBulletId w:val="0"/>
      <w:lvlJc w:val="left"/>
      <w:pPr>
        <w:ind w:left="2880" w:hanging="360"/>
      </w:pPr>
      <w:rPr>
        <w:rFonts w:ascii="Symbol" w:hAnsi="Symbol" w:cs="Times New Roman (Body CS)" w:hint="default"/>
        <w:color w:val="auto"/>
        <w:sz w:val="26"/>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6" w15:restartNumberingAfterBreak="0">
    <w:nsid w:val="6B1C6DA1"/>
    <w:multiLevelType w:val="hybridMultilevel"/>
    <w:tmpl w:val="14402F04"/>
    <w:lvl w:ilvl="0" w:tplc="084EEDD6">
      <w:start w:val="1"/>
      <w:numFmt w:val="bullet"/>
      <w:lvlText w:val="•"/>
      <w:lvlJc w:val="left"/>
      <w:pPr>
        <w:tabs>
          <w:tab w:val="num" w:pos="720"/>
        </w:tabs>
        <w:ind w:left="720" w:hanging="360"/>
      </w:pPr>
      <w:rPr>
        <w:rFonts w:ascii="Arial" w:hAnsi="Arial" w:hint="default"/>
      </w:rPr>
    </w:lvl>
    <w:lvl w:ilvl="1" w:tplc="E8C8FF46">
      <w:numFmt w:val="bullet"/>
      <w:lvlText w:val="•"/>
      <w:lvlJc w:val="left"/>
      <w:pPr>
        <w:tabs>
          <w:tab w:val="num" w:pos="1440"/>
        </w:tabs>
        <w:ind w:left="1440" w:hanging="360"/>
      </w:pPr>
      <w:rPr>
        <w:rFonts w:ascii="Arial" w:hAnsi="Arial" w:hint="default"/>
      </w:rPr>
    </w:lvl>
    <w:lvl w:ilvl="2" w:tplc="E45C63C8" w:tentative="1">
      <w:start w:val="1"/>
      <w:numFmt w:val="bullet"/>
      <w:lvlText w:val="•"/>
      <w:lvlJc w:val="left"/>
      <w:pPr>
        <w:tabs>
          <w:tab w:val="num" w:pos="2160"/>
        </w:tabs>
        <w:ind w:left="2160" w:hanging="360"/>
      </w:pPr>
      <w:rPr>
        <w:rFonts w:ascii="Arial" w:hAnsi="Arial" w:hint="default"/>
      </w:rPr>
    </w:lvl>
    <w:lvl w:ilvl="3" w:tplc="578CF184" w:tentative="1">
      <w:start w:val="1"/>
      <w:numFmt w:val="bullet"/>
      <w:lvlText w:val="•"/>
      <w:lvlJc w:val="left"/>
      <w:pPr>
        <w:tabs>
          <w:tab w:val="num" w:pos="2880"/>
        </w:tabs>
        <w:ind w:left="2880" w:hanging="360"/>
      </w:pPr>
      <w:rPr>
        <w:rFonts w:ascii="Arial" w:hAnsi="Arial" w:hint="default"/>
      </w:rPr>
    </w:lvl>
    <w:lvl w:ilvl="4" w:tplc="D7C095A8" w:tentative="1">
      <w:start w:val="1"/>
      <w:numFmt w:val="bullet"/>
      <w:lvlText w:val="•"/>
      <w:lvlJc w:val="left"/>
      <w:pPr>
        <w:tabs>
          <w:tab w:val="num" w:pos="3600"/>
        </w:tabs>
        <w:ind w:left="3600" w:hanging="360"/>
      </w:pPr>
      <w:rPr>
        <w:rFonts w:ascii="Arial" w:hAnsi="Arial" w:hint="default"/>
      </w:rPr>
    </w:lvl>
    <w:lvl w:ilvl="5" w:tplc="F0A4832A" w:tentative="1">
      <w:start w:val="1"/>
      <w:numFmt w:val="bullet"/>
      <w:lvlText w:val="•"/>
      <w:lvlJc w:val="left"/>
      <w:pPr>
        <w:tabs>
          <w:tab w:val="num" w:pos="4320"/>
        </w:tabs>
        <w:ind w:left="4320" w:hanging="360"/>
      </w:pPr>
      <w:rPr>
        <w:rFonts w:ascii="Arial" w:hAnsi="Arial" w:hint="default"/>
      </w:rPr>
    </w:lvl>
    <w:lvl w:ilvl="6" w:tplc="5F04B8CC" w:tentative="1">
      <w:start w:val="1"/>
      <w:numFmt w:val="bullet"/>
      <w:lvlText w:val="•"/>
      <w:lvlJc w:val="left"/>
      <w:pPr>
        <w:tabs>
          <w:tab w:val="num" w:pos="5040"/>
        </w:tabs>
        <w:ind w:left="5040" w:hanging="360"/>
      </w:pPr>
      <w:rPr>
        <w:rFonts w:ascii="Arial" w:hAnsi="Arial" w:hint="default"/>
      </w:rPr>
    </w:lvl>
    <w:lvl w:ilvl="7" w:tplc="E61C47F4" w:tentative="1">
      <w:start w:val="1"/>
      <w:numFmt w:val="bullet"/>
      <w:lvlText w:val="•"/>
      <w:lvlJc w:val="left"/>
      <w:pPr>
        <w:tabs>
          <w:tab w:val="num" w:pos="5760"/>
        </w:tabs>
        <w:ind w:left="5760" w:hanging="360"/>
      </w:pPr>
      <w:rPr>
        <w:rFonts w:ascii="Arial" w:hAnsi="Arial" w:hint="default"/>
      </w:rPr>
    </w:lvl>
    <w:lvl w:ilvl="8" w:tplc="BB926740"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E7E229F"/>
    <w:multiLevelType w:val="hybridMultilevel"/>
    <w:tmpl w:val="E43A433C"/>
    <w:lvl w:ilvl="0" w:tplc="73003B0A">
      <w:start w:val="1"/>
      <w:numFmt w:val="bullet"/>
      <w:lvlText w:val=""/>
      <w:lvlJc w:val="left"/>
      <w:pPr>
        <w:tabs>
          <w:tab w:val="num" w:pos="990"/>
        </w:tabs>
        <w:ind w:left="990" w:hanging="360"/>
      </w:pPr>
      <w:rPr>
        <w:rFonts w:ascii="Wingdings" w:hAnsi="Wingdings" w:hint="default"/>
      </w:rPr>
    </w:lvl>
    <w:lvl w:ilvl="1" w:tplc="04090001">
      <w:start w:val="1"/>
      <w:numFmt w:val="bullet"/>
      <w:lvlText w:val=""/>
      <w:lvlJc w:val="left"/>
      <w:pPr>
        <w:tabs>
          <w:tab w:val="num" w:pos="1620"/>
        </w:tabs>
        <w:ind w:left="1620" w:hanging="360"/>
      </w:pPr>
      <w:rPr>
        <w:rFonts w:ascii="Symbol" w:hAnsi="Symbol" w:hint="default"/>
      </w:rPr>
    </w:lvl>
    <w:lvl w:ilvl="2" w:tplc="F22E5BC0" w:tentative="1">
      <w:start w:val="1"/>
      <w:numFmt w:val="bullet"/>
      <w:lvlText w:val=""/>
      <w:lvlJc w:val="left"/>
      <w:pPr>
        <w:tabs>
          <w:tab w:val="num" w:pos="2430"/>
        </w:tabs>
        <w:ind w:left="2430" w:hanging="360"/>
      </w:pPr>
      <w:rPr>
        <w:rFonts w:ascii="Wingdings" w:hAnsi="Wingdings" w:hint="default"/>
      </w:rPr>
    </w:lvl>
    <w:lvl w:ilvl="3" w:tplc="5A248CB8" w:tentative="1">
      <w:start w:val="1"/>
      <w:numFmt w:val="bullet"/>
      <w:lvlText w:val=""/>
      <w:lvlJc w:val="left"/>
      <w:pPr>
        <w:tabs>
          <w:tab w:val="num" w:pos="3150"/>
        </w:tabs>
        <w:ind w:left="3150" w:hanging="360"/>
      </w:pPr>
      <w:rPr>
        <w:rFonts w:ascii="Wingdings" w:hAnsi="Wingdings" w:hint="default"/>
      </w:rPr>
    </w:lvl>
    <w:lvl w:ilvl="4" w:tplc="F6060B94" w:tentative="1">
      <w:start w:val="1"/>
      <w:numFmt w:val="bullet"/>
      <w:lvlText w:val=""/>
      <w:lvlJc w:val="left"/>
      <w:pPr>
        <w:tabs>
          <w:tab w:val="num" w:pos="3870"/>
        </w:tabs>
        <w:ind w:left="3870" w:hanging="360"/>
      </w:pPr>
      <w:rPr>
        <w:rFonts w:ascii="Wingdings" w:hAnsi="Wingdings" w:hint="default"/>
      </w:rPr>
    </w:lvl>
    <w:lvl w:ilvl="5" w:tplc="99B64666" w:tentative="1">
      <w:start w:val="1"/>
      <w:numFmt w:val="bullet"/>
      <w:lvlText w:val=""/>
      <w:lvlJc w:val="left"/>
      <w:pPr>
        <w:tabs>
          <w:tab w:val="num" w:pos="4590"/>
        </w:tabs>
        <w:ind w:left="4590" w:hanging="360"/>
      </w:pPr>
      <w:rPr>
        <w:rFonts w:ascii="Wingdings" w:hAnsi="Wingdings" w:hint="default"/>
      </w:rPr>
    </w:lvl>
    <w:lvl w:ilvl="6" w:tplc="0E1A3CCA" w:tentative="1">
      <w:start w:val="1"/>
      <w:numFmt w:val="bullet"/>
      <w:lvlText w:val=""/>
      <w:lvlJc w:val="left"/>
      <w:pPr>
        <w:tabs>
          <w:tab w:val="num" w:pos="5310"/>
        </w:tabs>
        <w:ind w:left="5310" w:hanging="360"/>
      </w:pPr>
      <w:rPr>
        <w:rFonts w:ascii="Wingdings" w:hAnsi="Wingdings" w:hint="default"/>
      </w:rPr>
    </w:lvl>
    <w:lvl w:ilvl="7" w:tplc="9AECCB26" w:tentative="1">
      <w:start w:val="1"/>
      <w:numFmt w:val="bullet"/>
      <w:lvlText w:val=""/>
      <w:lvlJc w:val="left"/>
      <w:pPr>
        <w:tabs>
          <w:tab w:val="num" w:pos="6030"/>
        </w:tabs>
        <w:ind w:left="6030" w:hanging="360"/>
      </w:pPr>
      <w:rPr>
        <w:rFonts w:ascii="Wingdings" w:hAnsi="Wingdings" w:hint="default"/>
      </w:rPr>
    </w:lvl>
    <w:lvl w:ilvl="8" w:tplc="141E3296" w:tentative="1">
      <w:start w:val="1"/>
      <w:numFmt w:val="bullet"/>
      <w:lvlText w:val=""/>
      <w:lvlJc w:val="left"/>
      <w:pPr>
        <w:tabs>
          <w:tab w:val="num" w:pos="6750"/>
        </w:tabs>
        <w:ind w:left="6750" w:hanging="360"/>
      </w:pPr>
      <w:rPr>
        <w:rFonts w:ascii="Wingdings" w:hAnsi="Wingdings" w:hint="default"/>
      </w:rPr>
    </w:lvl>
  </w:abstractNum>
  <w:abstractNum w:abstractNumId="38" w15:restartNumberingAfterBreak="0">
    <w:nsid w:val="73530EEF"/>
    <w:multiLevelType w:val="hybridMultilevel"/>
    <w:tmpl w:val="64C4195E"/>
    <w:lvl w:ilvl="0" w:tplc="3DD2360C">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9097096">
    <w:abstractNumId w:val="3"/>
  </w:num>
  <w:num w:numId="2" w16cid:durableId="700470204">
    <w:abstractNumId w:val="2"/>
  </w:num>
  <w:num w:numId="3" w16cid:durableId="1254315230">
    <w:abstractNumId w:val="1"/>
  </w:num>
  <w:num w:numId="4" w16cid:durableId="1001663147">
    <w:abstractNumId w:val="0"/>
  </w:num>
  <w:num w:numId="5" w16cid:durableId="1591892943">
    <w:abstractNumId w:val="21"/>
  </w:num>
  <w:num w:numId="6" w16cid:durableId="1270357603">
    <w:abstractNumId w:val="32"/>
  </w:num>
  <w:num w:numId="7" w16cid:durableId="1321499806">
    <w:abstractNumId w:val="35"/>
  </w:num>
  <w:num w:numId="8" w16cid:durableId="70667718">
    <w:abstractNumId w:val="15"/>
  </w:num>
  <w:num w:numId="9" w16cid:durableId="2031562542">
    <w:abstractNumId w:val="22"/>
  </w:num>
  <w:num w:numId="10" w16cid:durableId="1506939577">
    <w:abstractNumId w:val="13"/>
  </w:num>
  <w:num w:numId="11" w16cid:durableId="751239535">
    <w:abstractNumId w:val="27"/>
  </w:num>
  <w:num w:numId="12" w16cid:durableId="1037239241">
    <w:abstractNumId w:val="14"/>
  </w:num>
  <w:num w:numId="13" w16cid:durableId="2093503788">
    <w:abstractNumId w:val="12"/>
  </w:num>
  <w:num w:numId="14" w16cid:durableId="51543141">
    <w:abstractNumId w:val="6"/>
  </w:num>
  <w:num w:numId="15" w16cid:durableId="691878635">
    <w:abstractNumId w:val="37"/>
  </w:num>
  <w:num w:numId="16" w16cid:durableId="382103265">
    <w:abstractNumId w:val="19"/>
  </w:num>
  <w:num w:numId="17" w16cid:durableId="1501121808">
    <w:abstractNumId w:val="30"/>
  </w:num>
  <w:num w:numId="18" w16cid:durableId="1568415334">
    <w:abstractNumId w:val="7"/>
  </w:num>
  <w:num w:numId="19" w16cid:durableId="452753048">
    <w:abstractNumId w:val="26"/>
  </w:num>
  <w:num w:numId="20" w16cid:durableId="1615868552">
    <w:abstractNumId w:val="25"/>
  </w:num>
  <w:num w:numId="21" w16cid:durableId="1215696702">
    <w:abstractNumId w:val="31"/>
  </w:num>
  <w:num w:numId="22" w16cid:durableId="1351952570">
    <w:abstractNumId w:val="36"/>
  </w:num>
  <w:num w:numId="23" w16cid:durableId="1472096957">
    <w:abstractNumId w:val="29"/>
  </w:num>
  <w:num w:numId="24" w16cid:durableId="67776652">
    <w:abstractNumId w:val="17"/>
  </w:num>
  <w:num w:numId="25" w16cid:durableId="826557746">
    <w:abstractNumId w:val="34"/>
  </w:num>
  <w:num w:numId="26" w16cid:durableId="648631246">
    <w:abstractNumId w:val="11"/>
  </w:num>
  <w:num w:numId="27" w16cid:durableId="1025181266">
    <w:abstractNumId w:val="38"/>
  </w:num>
  <w:num w:numId="28" w16cid:durableId="1037898877">
    <w:abstractNumId w:val="5"/>
  </w:num>
  <w:num w:numId="29" w16cid:durableId="1561135357">
    <w:abstractNumId w:val="8"/>
  </w:num>
  <w:num w:numId="30" w16cid:durableId="2328159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44736677">
    <w:abstractNumId w:val="4"/>
  </w:num>
  <w:num w:numId="32" w16cid:durableId="1395468">
    <w:abstractNumId w:val="5"/>
  </w:num>
  <w:num w:numId="33" w16cid:durableId="557976357">
    <w:abstractNumId w:val="33"/>
  </w:num>
  <w:num w:numId="34" w16cid:durableId="2139373605">
    <w:abstractNumId w:val="20"/>
  </w:num>
  <w:num w:numId="35" w16cid:durableId="505483636">
    <w:abstractNumId w:val="10"/>
  </w:num>
  <w:num w:numId="36" w16cid:durableId="2007586439">
    <w:abstractNumId w:val="23"/>
  </w:num>
  <w:num w:numId="37" w16cid:durableId="1534341611">
    <w:abstractNumId w:val="28"/>
  </w:num>
  <w:num w:numId="38" w16cid:durableId="795611280">
    <w:abstractNumId w:val="18"/>
  </w:num>
  <w:num w:numId="39" w16cid:durableId="665212810">
    <w:abstractNumId w:val="24"/>
  </w:num>
  <w:num w:numId="40" w16cid:durableId="54668848">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US" w:vendorID="64" w:dllVersion="4096" w:nlCheck="1" w:checkStyle="0"/>
  <w:activeWritingStyle w:appName="MSWord" w:lang="en-US" w:vendorID="64" w:dllVersion="6" w:nlCheck="1" w:checkStyle="1"/>
  <w:activeWritingStyle w:appName="MSWord" w:lang="en-US" w:vendorID="64" w:dllVersion="0" w:nlCheck="1" w:checkStyle="0"/>
  <w:activeWritingStyle w:appName="MSWord" w:lang="es-US" w:vendorID="64" w:dllVersion="0" w:nlCheck="1" w:checkStyle="0"/>
  <w:activeWritingStyle w:appName="MSWord" w:lang="es-ES" w:vendorID="64" w:dllVersion="0" w:nlCheck="1" w:checkStyle="0"/>
  <w:stylePaneSortMethod w:val="00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D4C11"/>
    <w:rsid w:val="00000191"/>
    <w:rsid w:val="00000B11"/>
    <w:rsid w:val="00001159"/>
    <w:rsid w:val="000020B3"/>
    <w:rsid w:val="00002537"/>
    <w:rsid w:val="00002E54"/>
    <w:rsid w:val="000034A1"/>
    <w:rsid w:val="00004FBA"/>
    <w:rsid w:val="00007343"/>
    <w:rsid w:val="00007EBB"/>
    <w:rsid w:val="00007FD3"/>
    <w:rsid w:val="00010928"/>
    <w:rsid w:val="00010B9A"/>
    <w:rsid w:val="00010D90"/>
    <w:rsid w:val="000114DC"/>
    <w:rsid w:val="00011980"/>
    <w:rsid w:val="00011D0A"/>
    <w:rsid w:val="00011FA2"/>
    <w:rsid w:val="00012036"/>
    <w:rsid w:val="000127BE"/>
    <w:rsid w:val="0001286E"/>
    <w:rsid w:val="00012CCE"/>
    <w:rsid w:val="00013605"/>
    <w:rsid w:val="00013BD9"/>
    <w:rsid w:val="000142E4"/>
    <w:rsid w:val="0001528F"/>
    <w:rsid w:val="00015426"/>
    <w:rsid w:val="00016013"/>
    <w:rsid w:val="0001682A"/>
    <w:rsid w:val="00016CF5"/>
    <w:rsid w:val="00020703"/>
    <w:rsid w:val="00020DE5"/>
    <w:rsid w:val="00021334"/>
    <w:rsid w:val="000216A5"/>
    <w:rsid w:val="00021E10"/>
    <w:rsid w:val="0002210C"/>
    <w:rsid w:val="000248B0"/>
    <w:rsid w:val="00024F15"/>
    <w:rsid w:val="00025006"/>
    <w:rsid w:val="000250F2"/>
    <w:rsid w:val="000251FE"/>
    <w:rsid w:val="000255AE"/>
    <w:rsid w:val="0002693F"/>
    <w:rsid w:val="000269F3"/>
    <w:rsid w:val="00026B0F"/>
    <w:rsid w:val="00026D1C"/>
    <w:rsid w:val="00027226"/>
    <w:rsid w:val="000301F6"/>
    <w:rsid w:val="0003114B"/>
    <w:rsid w:val="00032B57"/>
    <w:rsid w:val="00033790"/>
    <w:rsid w:val="00034115"/>
    <w:rsid w:val="000344DB"/>
    <w:rsid w:val="00034BFB"/>
    <w:rsid w:val="00035BB9"/>
    <w:rsid w:val="00036390"/>
    <w:rsid w:val="000366EC"/>
    <w:rsid w:val="00036EBD"/>
    <w:rsid w:val="00036FE3"/>
    <w:rsid w:val="000370FE"/>
    <w:rsid w:val="00037E8F"/>
    <w:rsid w:val="00037EE8"/>
    <w:rsid w:val="00037F3A"/>
    <w:rsid w:val="00040AE1"/>
    <w:rsid w:val="00041528"/>
    <w:rsid w:val="000420A4"/>
    <w:rsid w:val="00042296"/>
    <w:rsid w:val="00042E6C"/>
    <w:rsid w:val="00043090"/>
    <w:rsid w:val="00044151"/>
    <w:rsid w:val="00044521"/>
    <w:rsid w:val="00044A57"/>
    <w:rsid w:val="000456F3"/>
    <w:rsid w:val="000457FC"/>
    <w:rsid w:val="00046B73"/>
    <w:rsid w:val="00050377"/>
    <w:rsid w:val="0005091C"/>
    <w:rsid w:val="00051754"/>
    <w:rsid w:val="000517CD"/>
    <w:rsid w:val="00052D22"/>
    <w:rsid w:val="00053035"/>
    <w:rsid w:val="00053D93"/>
    <w:rsid w:val="00053FED"/>
    <w:rsid w:val="0005529E"/>
    <w:rsid w:val="0005615B"/>
    <w:rsid w:val="000566C3"/>
    <w:rsid w:val="00057242"/>
    <w:rsid w:val="00057703"/>
    <w:rsid w:val="00057932"/>
    <w:rsid w:val="000579B0"/>
    <w:rsid w:val="000612E6"/>
    <w:rsid w:val="00061323"/>
    <w:rsid w:val="00062609"/>
    <w:rsid w:val="000628DE"/>
    <w:rsid w:val="00062A21"/>
    <w:rsid w:val="00062B0C"/>
    <w:rsid w:val="00063026"/>
    <w:rsid w:val="000636F6"/>
    <w:rsid w:val="0006466E"/>
    <w:rsid w:val="000653A0"/>
    <w:rsid w:val="00065EA5"/>
    <w:rsid w:val="00066269"/>
    <w:rsid w:val="00066CAE"/>
    <w:rsid w:val="00066D52"/>
    <w:rsid w:val="000678CA"/>
    <w:rsid w:val="000678DE"/>
    <w:rsid w:val="00067B43"/>
    <w:rsid w:val="00070057"/>
    <w:rsid w:val="00070C93"/>
    <w:rsid w:val="00071291"/>
    <w:rsid w:val="00071A65"/>
    <w:rsid w:val="00071F27"/>
    <w:rsid w:val="000726CE"/>
    <w:rsid w:val="00072A73"/>
    <w:rsid w:val="00072D08"/>
    <w:rsid w:val="00072D8C"/>
    <w:rsid w:val="000734A1"/>
    <w:rsid w:val="0007394F"/>
    <w:rsid w:val="00073B0B"/>
    <w:rsid w:val="00073E61"/>
    <w:rsid w:val="000749A9"/>
    <w:rsid w:val="00074F95"/>
    <w:rsid w:val="00075291"/>
    <w:rsid w:val="000763F6"/>
    <w:rsid w:val="00076431"/>
    <w:rsid w:val="0007659F"/>
    <w:rsid w:val="00076E96"/>
    <w:rsid w:val="000778C5"/>
    <w:rsid w:val="00080D6B"/>
    <w:rsid w:val="00080DFE"/>
    <w:rsid w:val="00081698"/>
    <w:rsid w:val="00081A03"/>
    <w:rsid w:val="000828F8"/>
    <w:rsid w:val="00082CBE"/>
    <w:rsid w:val="00082DA2"/>
    <w:rsid w:val="00083303"/>
    <w:rsid w:val="0008336A"/>
    <w:rsid w:val="00085B50"/>
    <w:rsid w:val="000863BE"/>
    <w:rsid w:val="00090871"/>
    <w:rsid w:val="00090B55"/>
    <w:rsid w:val="00090DC6"/>
    <w:rsid w:val="00091C18"/>
    <w:rsid w:val="00092602"/>
    <w:rsid w:val="00092989"/>
    <w:rsid w:val="00093859"/>
    <w:rsid w:val="0009424A"/>
    <w:rsid w:val="00094E98"/>
    <w:rsid w:val="000960F2"/>
    <w:rsid w:val="00097170"/>
    <w:rsid w:val="000A029B"/>
    <w:rsid w:val="000A0B92"/>
    <w:rsid w:val="000A166D"/>
    <w:rsid w:val="000A3089"/>
    <w:rsid w:val="000A36AB"/>
    <w:rsid w:val="000A37F6"/>
    <w:rsid w:val="000A43BB"/>
    <w:rsid w:val="000A46CE"/>
    <w:rsid w:val="000A4CBA"/>
    <w:rsid w:val="000A4F39"/>
    <w:rsid w:val="000A5688"/>
    <w:rsid w:val="000A5BA3"/>
    <w:rsid w:val="000A5FA9"/>
    <w:rsid w:val="000A6301"/>
    <w:rsid w:val="000A7114"/>
    <w:rsid w:val="000A7386"/>
    <w:rsid w:val="000A7F41"/>
    <w:rsid w:val="000B05B0"/>
    <w:rsid w:val="000B0EA6"/>
    <w:rsid w:val="000B1545"/>
    <w:rsid w:val="000B1A64"/>
    <w:rsid w:val="000B2B38"/>
    <w:rsid w:val="000B3012"/>
    <w:rsid w:val="000B3F87"/>
    <w:rsid w:val="000B4883"/>
    <w:rsid w:val="000B4A51"/>
    <w:rsid w:val="000B5534"/>
    <w:rsid w:val="000B5DC4"/>
    <w:rsid w:val="000B60BF"/>
    <w:rsid w:val="000B6891"/>
    <w:rsid w:val="000B692B"/>
    <w:rsid w:val="000C095F"/>
    <w:rsid w:val="000C14EC"/>
    <w:rsid w:val="000C177F"/>
    <w:rsid w:val="000C1E53"/>
    <w:rsid w:val="000C1FC0"/>
    <w:rsid w:val="000C243D"/>
    <w:rsid w:val="000C25AA"/>
    <w:rsid w:val="000C27DF"/>
    <w:rsid w:val="000C2CBF"/>
    <w:rsid w:val="000C35B1"/>
    <w:rsid w:val="000C35E6"/>
    <w:rsid w:val="000C4503"/>
    <w:rsid w:val="000C5E8C"/>
    <w:rsid w:val="000C60B7"/>
    <w:rsid w:val="000C64B6"/>
    <w:rsid w:val="000C65D9"/>
    <w:rsid w:val="000D1244"/>
    <w:rsid w:val="000D1D9D"/>
    <w:rsid w:val="000D2207"/>
    <w:rsid w:val="000D295C"/>
    <w:rsid w:val="000D325F"/>
    <w:rsid w:val="000D3338"/>
    <w:rsid w:val="000D33F1"/>
    <w:rsid w:val="000D3A8B"/>
    <w:rsid w:val="000D3CDB"/>
    <w:rsid w:val="000D40DF"/>
    <w:rsid w:val="000D490A"/>
    <w:rsid w:val="000D4952"/>
    <w:rsid w:val="000D59E6"/>
    <w:rsid w:val="000D5DBE"/>
    <w:rsid w:val="000D60E6"/>
    <w:rsid w:val="000E19BB"/>
    <w:rsid w:val="000E1EAA"/>
    <w:rsid w:val="000E2033"/>
    <w:rsid w:val="000E300E"/>
    <w:rsid w:val="000E3440"/>
    <w:rsid w:val="000E3981"/>
    <w:rsid w:val="000E3C25"/>
    <w:rsid w:val="000E3F63"/>
    <w:rsid w:val="000E4688"/>
    <w:rsid w:val="000E539A"/>
    <w:rsid w:val="000E648D"/>
    <w:rsid w:val="000E64F6"/>
    <w:rsid w:val="000E7177"/>
    <w:rsid w:val="000E7BDB"/>
    <w:rsid w:val="000F0B5A"/>
    <w:rsid w:val="000F2034"/>
    <w:rsid w:val="000F3036"/>
    <w:rsid w:val="000F51E6"/>
    <w:rsid w:val="000F5231"/>
    <w:rsid w:val="000F66AA"/>
    <w:rsid w:val="0010105A"/>
    <w:rsid w:val="00101594"/>
    <w:rsid w:val="00102228"/>
    <w:rsid w:val="0010279C"/>
    <w:rsid w:val="00103BB0"/>
    <w:rsid w:val="00104379"/>
    <w:rsid w:val="0010490C"/>
    <w:rsid w:val="00106BD8"/>
    <w:rsid w:val="00106E30"/>
    <w:rsid w:val="00107A54"/>
    <w:rsid w:val="00110182"/>
    <w:rsid w:val="00112358"/>
    <w:rsid w:val="00112659"/>
    <w:rsid w:val="00112BC8"/>
    <w:rsid w:val="00113525"/>
    <w:rsid w:val="001136DD"/>
    <w:rsid w:val="0011422A"/>
    <w:rsid w:val="0011423D"/>
    <w:rsid w:val="0011499F"/>
    <w:rsid w:val="00114B85"/>
    <w:rsid w:val="00114EAC"/>
    <w:rsid w:val="0011511A"/>
    <w:rsid w:val="00116538"/>
    <w:rsid w:val="001167CB"/>
    <w:rsid w:val="00116A48"/>
    <w:rsid w:val="0011794F"/>
    <w:rsid w:val="00117B57"/>
    <w:rsid w:val="00117EF7"/>
    <w:rsid w:val="00120D60"/>
    <w:rsid w:val="00120FD0"/>
    <w:rsid w:val="0012278C"/>
    <w:rsid w:val="00122C70"/>
    <w:rsid w:val="00125C7E"/>
    <w:rsid w:val="00125C83"/>
    <w:rsid w:val="00126DCF"/>
    <w:rsid w:val="00126EB2"/>
    <w:rsid w:val="001279AD"/>
    <w:rsid w:val="00127FA1"/>
    <w:rsid w:val="00130A19"/>
    <w:rsid w:val="00130E79"/>
    <w:rsid w:val="00130F7F"/>
    <w:rsid w:val="001336B3"/>
    <w:rsid w:val="001342AA"/>
    <w:rsid w:val="001347E0"/>
    <w:rsid w:val="00134B3C"/>
    <w:rsid w:val="00134D3F"/>
    <w:rsid w:val="00135D6B"/>
    <w:rsid w:val="0013674A"/>
    <w:rsid w:val="00136792"/>
    <w:rsid w:val="00140625"/>
    <w:rsid w:val="00140E75"/>
    <w:rsid w:val="00141AAE"/>
    <w:rsid w:val="00141E5C"/>
    <w:rsid w:val="00142121"/>
    <w:rsid w:val="00142CCF"/>
    <w:rsid w:val="001437FF"/>
    <w:rsid w:val="00143863"/>
    <w:rsid w:val="00144059"/>
    <w:rsid w:val="001449E4"/>
    <w:rsid w:val="00144BFA"/>
    <w:rsid w:val="00144C6A"/>
    <w:rsid w:val="00144E1D"/>
    <w:rsid w:val="00144FD7"/>
    <w:rsid w:val="00145B76"/>
    <w:rsid w:val="00146A35"/>
    <w:rsid w:val="00146B5C"/>
    <w:rsid w:val="00147923"/>
    <w:rsid w:val="00150882"/>
    <w:rsid w:val="00151420"/>
    <w:rsid w:val="00151613"/>
    <w:rsid w:val="00153F24"/>
    <w:rsid w:val="00154326"/>
    <w:rsid w:val="001544D0"/>
    <w:rsid w:val="0015621A"/>
    <w:rsid w:val="0015644D"/>
    <w:rsid w:val="00156A65"/>
    <w:rsid w:val="00157971"/>
    <w:rsid w:val="00157976"/>
    <w:rsid w:val="00157A08"/>
    <w:rsid w:val="001604AB"/>
    <w:rsid w:val="0016087F"/>
    <w:rsid w:val="00161EBF"/>
    <w:rsid w:val="00162406"/>
    <w:rsid w:val="001624C9"/>
    <w:rsid w:val="001638E2"/>
    <w:rsid w:val="00163EC9"/>
    <w:rsid w:val="00164372"/>
    <w:rsid w:val="00164684"/>
    <w:rsid w:val="001647DA"/>
    <w:rsid w:val="001649AE"/>
    <w:rsid w:val="001649B7"/>
    <w:rsid w:val="00164DEB"/>
    <w:rsid w:val="00164FB1"/>
    <w:rsid w:val="00165003"/>
    <w:rsid w:val="00165DF5"/>
    <w:rsid w:val="00166168"/>
    <w:rsid w:val="001661B2"/>
    <w:rsid w:val="00166348"/>
    <w:rsid w:val="00167B53"/>
    <w:rsid w:val="00170312"/>
    <w:rsid w:val="00170924"/>
    <w:rsid w:val="00171C03"/>
    <w:rsid w:val="00173819"/>
    <w:rsid w:val="00174079"/>
    <w:rsid w:val="001751EA"/>
    <w:rsid w:val="00177589"/>
    <w:rsid w:val="001778F8"/>
    <w:rsid w:val="00177900"/>
    <w:rsid w:val="00177C1C"/>
    <w:rsid w:val="00177F38"/>
    <w:rsid w:val="00177F3F"/>
    <w:rsid w:val="001807F5"/>
    <w:rsid w:val="00180A2E"/>
    <w:rsid w:val="0018128C"/>
    <w:rsid w:val="00181D32"/>
    <w:rsid w:val="00181EA8"/>
    <w:rsid w:val="00182346"/>
    <w:rsid w:val="001825A6"/>
    <w:rsid w:val="001827FE"/>
    <w:rsid w:val="00182C26"/>
    <w:rsid w:val="00184A8B"/>
    <w:rsid w:val="00184CAA"/>
    <w:rsid w:val="00185070"/>
    <w:rsid w:val="001859CC"/>
    <w:rsid w:val="00185BF7"/>
    <w:rsid w:val="0019081A"/>
    <w:rsid w:val="001908B0"/>
    <w:rsid w:val="001914AC"/>
    <w:rsid w:val="00191725"/>
    <w:rsid w:val="001917B7"/>
    <w:rsid w:val="0019181F"/>
    <w:rsid w:val="00191C87"/>
    <w:rsid w:val="00191E3C"/>
    <w:rsid w:val="00195072"/>
    <w:rsid w:val="001958CF"/>
    <w:rsid w:val="00195A9F"/>
    <w:rsid w:val="00195B0A"/>
    <w:rsid w:val="00195B1D"/>
    <w:rsid w:val="00195F18"/>
    <w:rsid w:val="00196744"/>
    <w:rsid w:val="00196A75"/>
    <w:rsid w:val="0019753A"/>
    <w:rsid w:val="00197A1B"/>
    <w:rsid w:val="00197CE9"/>
    <w:rsid w:val="00197E41"/>
    <w:rsid w:val="001A03F3"/>
    <w:rsid w:val="001A1566"/>
    <w:rsid w:val="001A1814"/>
    <w:rsid w:val="001A20F6"/>
    <w:rsid w:val="001A227F"/>
    <w:rsid w:val="001A3039"/>
    <w:rsid w:val="001A3CF0"/>
    <w:rsid w:val="001A5C58"/>
    <w:rsid w:val="001A628C"/>
    <w:rsid w:val="001A6B52"/>
    <w:rsid w:val="001A729E"/>
    <w:rsid w:val="001A7DF4"/>
    <w:rsid w:val="001B0014"/>
    <w:rsid w:val="001B2EDF"/>
    <w:rsid w:val="001B2F54"/>
    <w:rsid w:val="001B45E4"/>
    <w:rsid w:val="001B57B9"/>
    <w:rsid w:val="001B5E83"/>
    <w:rsid w:val="001B6BE9"/>
    <w:rsid w:val="001B6E18"/>
    <w:rsid w:val="001C0CBE"/>
    <w:rsid w:val="001C22E7"/>
    <w:rsid w:val="001C2C1E"/>
    <w:rsid w:val="001C437E"/>
    <w:rsid w:val="001C5273"/>
    <w:rsid w:val="001C63C0"/>
    <w:rsid w:val="001C7390"/>
    <w:rsid w:val="001C76C5"/>
    <w:rsid w:val="001C7C70"/>
    <w:rsid w:val="001D06B7"/>
    <w:rsid w:val="001D07C7"/>
    <w:rsid w:val="001D17E5"/>
    <w:rsid w:val="001D1F2C"/>
    <w:rsid w:val="001D20E9"/>
    <w:rsid w:val="001D2723"/>
    <w:rsid w:val="001D3668"/>
    <w:rsid w:val="001D370C"/>
    <w:rsid w:val="001D480F"/>
    <w:rsid w:val="001D4ABB"/>
    <w:rsid w:val="001D4C11"/>
    <w:rsid w:val="001D62BD"/>
    <w:rsid w:val="001D75EC"/>
    <w:rsid w:val="001E26EB"/>
    <w:rsid w:val="001E2E16"/>
    <w:rsid w:val="001E45F9"/>
    <w:rsid w:val="001E49A5"/>
    <w:rsid w:val="001E51C8"/>
    <w:rsid w:val="001E59A2"/>
    <w:rsid w:val="001E638B"/>
    <w:rsid w:val="001E7445"/>
    <w:rsid w:val="001E7D25"/>
    <w:rsid w:val="001E7FEA"/>
    <w:rsid w:val="001F0B38"/>
    <w:rsid w:val="001F12C1"/>
    <w:rsid w:val="001F1699"/>
    <w:rsid w:val="001F1785"/>
    <w:rsid w:val="001F25B9"/>
    <w:rsid w:val="001F2BC0"/>
    <w:rsid w:val="001F2EA9"/>
    <w:rsid w:val="001F301A"/>
    <w:rsid w:val="001F3439"/>
    <w:rsid w:val="001F3717"/>
    <w:rsid w:val="001F54BF"/>
    <w:rsid w:val="001F57E7"/>
    <w:rsid w:val="001F6367"/>
    <w:rsid w:val="001F6DF6"/>
    <w:rsid w:val="001F78B0"/>
    <w:rsid w:val="00200B62"/>
    <w:rsid w:val="00200EEA"/>
    <w:rsid w:val="00201325"/>
    <w:rsid w:val="002015DD"/>
    <w:rsid w:val="00201EB2"/>
    <w:rsid w:val="002020F5"/>
    <w:rsid w:val="0020232D"/>
    <w:rsid w:val="002027F0"/>
    <w:rsid w:val="00202F5F"/>
    <w:rsid w:val="00203BA4"/>
    <w:rsid w:val="00203FDC"/>
    <w:rsid w:val="00204917"/>
    <w:rsid w:val="00204AF0"/>
    <w:rsid w:val="00205ECF"/>
    <w:rsid w:val="0020629F"/>
    <w:rsid w:val="00206AC5"/>
    <w:rsid w:val="00206C35"/>
    <w:rsid w:val="00206E6A"/>
    <w:rsid w:val="00207811"/>
    <w:rsid w:val="00207A81"/>
    <w:rsid w:val="00211417"/>
    <w:rsid w:val="00211F12"/>
    <w:rsid w:val="0021265B"/>
    <w:rsid w:val="002126BB"/>
    <w:rsid w:val="00213C21"/>
    <w:rsid w:val="0021544E"/>
    <w:rsid w:val="0021701C"/>
    <w:rsid w:val="00217534"/>
    <w:rsid w:val="00220889"/>
    <w:rsid w:val="00221ACE"/>
    <w:rsid w:val="00224578"/>
    <w:rsid w:val="0022564E"/>
    <w:rsid w:val="00225A50"/>
    <w:rsid w:val="00225C8E"/>
    <w:rsid w:val="00225D66"/>
    <w:rsid w:val="002260CF"/>
    <w:rsid w:val="002267C6"/>
    <w:rsid w:val="00226BE4"/>
    <w:rsid w:val="0022710A"/>
    <w:rsid w:val="00227C3B"/>
    <w:rsid w:val="002300F1"/>
    <w:rsid w:val="00231361"/>
    <w:rsid w:val="00231784"/>
    <w:rsid w:val="002321B9"/>
    <w:rsid w:val="00232ABB"/>
    <w:rsid w:val="00232D28"/>
    <w:rsid w:val="002338A3"/>
    <w:rsid w:val="00235219"/>
    <w:rsid w:val="00236E5F"/>
    <w:rsid w:val="00236E66"/>
    <w:rsid w:val="00237151"/>
    <w:rsid w:val="002373FE"/>
    <w:rsid w:val="002379F5"/>
    <w:rsid w:val="002409F1"/>
    <w:rsid w:val="00240B37"/>
    <w:rsid w:val="00241337"/>
    <w:rsid w:val="0024162B"/>
    <w:rsid w:val="00241B9C"/>
    <w:rsid w:val="0024205F"/>
    <w:rsid w:val="002421D2"/>
    <w:rsid w:val="002431A1"/>
    <w:rsid w:val="002438F0"/>
    <w:rsid w:val="002444EE"/>
    <w:rsid w:val="00244F9B"/>
    <w:rsid w:val="002450AF"/>
    <w:rsid w:val="0024554E"/>
    <w:rsid w:val="00245B55"/>
    <w:rsid w:val="00246E23"/>
    <w:rsid w:val="00250271"/>
    <w:rsid w:val="00250938"/>
    <w:rsid w:val="002509C2"/>
    <w:rsid w:val="00250A73"/>
    <w:rsid w:val="00250CD7"/>
    <w:rsid w:val="00251CC7"/>
    <w:rsid w:val="002521C1"/>
    <w:rsid w:val="00253CC7"/>
    <w:rsid w:val="0025420F"/>
    <w:rsid w:val="002552B5"/>
    <w:rsid w:val="00256399"/>
    <w:rsid w:val="0025768D"/>
    <w:rsid w:val="00260BD3"/>
    <w:rsid w:val="00260E79"/>
    <w:rsid w:val="00262071"/>
    <w:rsid w:val="00262592"/>
    <w:rsid w:val="00262A61"/>
    <w:rsid w:val="00262DAF"/>
    <w:rsid w:val="00263AD7"/>
    <w:rsid w:val="00263F83"/>
    <w:rsid w:val="00264AFE"/>
    <w:rsid w:val="00265D11"/>
    <w:rsid w:val="00266456"/>
    <w:rsid w:val="002673D8"/>
    <w:rsid w:val="00267B52"/>
    <w:rsid w:val="00271548"/>
    <w:rsid w:val="00271F91"/>
    <w:rsid w:val="002720F0"/>
    <w:rsid w:val="002723C7"/>
    <w:rsid w:val="002729D5"/>
    <w:rsid w:val="00272BDF"/>
    <w:rsid w:val="00273B1C"/>
    <w:rsid w:val="00273BAB"/>
    <w:rsid w:val="00274604"/>
    <w:rsid w:val="002746EA"/>
    <w:rsid w:val="002747B7"/>
    <w:rsid w:val="002755AA"/>
    <w:rsid w:val="00276CF3"/>
    <w:rsid w:val="00276F60"/>
    <w:rsid w:val="00280718"/>
    <w:rsid w:val="002807E3"/>
    <w:rsid w:val="0028099F"/>
    <w:rsid w:val="00280DE6"/>
    <w:rsid w:val="00280F62"/>
    <w:rsid w:val="00282019"/>
    <w:rsid w:val="002824A2"/>
    <w:rsid w:val="00283754"/>
    <w:rsid w:val="00283CF8"/>
    <w:rsid w:val="0028490E"/>
    <w:rsid w:val="00285A62"/>
    <w:rsid w:val="00285E76"/>
    <w:rsid w:val="00287992"/>
    <w:rsid w:val="002912D2"/>
    <w:rsid w:val="00291548"/>
    <w:rsid w:val="002927E6"/>
    <w:rsid w:val="0029287A"/>
    <w:rsid w:val="002947D4"/>
    <w:rsid w:val="002948A4"/>
    <w:rsid w:val="00296E81"/>
    <w:rsid w:val="00296EEE"/>
    <w:rsid w:val="00297A0F"/>
    <w:rsid w:val="002A002F"/>
    <w:rsid w:val="002A08EB"/>
    <w:rsid w:val="002A1C9C"/>
    <w:rsid w:val="002A21AF"/>
    <w:rsid w:val="002A275E"/>
    <w:rsid w:val="002A2C38"/>
    <w:rsid w:val="002A2CD0"/>
    <w:rsid w:val="002A2F25"/>
    <w:rsid w:val="002A3218"/>
    <w:rsid w:val="002A3A7F"/>
    <w:rsid w:val="002A3BD5"/>
    <w:rsid w:val="002A3C2D"/>
    <w:rsid w:val="002A4036"/>
    <w:rsid w:val="002A4C9D"/>
    <w:rsid w:val="002A5EB9"/>
    <w:rsid w:val="002A6FC4"/>
    <w:rsid w:val="002A706F"/>
    <w:rsid w:val="002A79A7"/>
    <w:rsid w:val="002A7C50"/>
    <w:rsid w:val="002B1689"/>
    <w:rsid w:val="002B1FBC"/>
    <w:rsid w:val="002B25AF"/>
    <w:rsid w:val="002B35BB"/>
    <w:rsid w:val="002B3720"/>
    <w:rsid w:val="002B4134"/>
    <w:rsid w:val="002B4BED"/>
    <w:rsid w:val="002B4D44"/>
    <w:rsid w:val="002B4E28"/>
    <w:rsid w:val="002B5DEF"/>
    <w:rsid w:val="002B651A"/>
    <w:rsid w:val="002B6E6E"/>
    <w:rsid w:val="002B7AF6"/>
    <w:rsid w:val="002C0395"/>
    <w:rsid w:val="002C0782"/>
    <w:rsid w:val="002C3437"/>
    <w:rsid w:val="002C35E5"/>
    <w:rsid w:val="002C4672"/>
    <w:rsid w:val="002C49E3"/>
    <w:rsid w:val="002C4D4F"/>
    <w:rsid w:val="002C6165"/>
    <w:rsid w:val="002C71C1"/>
    <w:rsid w:val="002C7C22"/>
    <w:rsid w:val="002C7FCC"/>
    <w:rsid w:val="002D01B3"/>
    <w:rsid w:val="002D04A0"/>
    <w:rsid w:val="002D0B62"/>
    <w:rsid w:val="002D237D"/>
    <w:rsid w:val="002D2DAC"/>
    <w:rsid w:val="002D2F08"/>
    <w:rsid w:val="002D3692"/>
    <w:rsid w:val="002D369E"/>
    <w:rsid w:val="002D4769"/>
    <w:rsid w:val="002D497A"/>
    <w:rsid w:val="002D4B25"/>
    <w:rsid w:val="002D4DBD"/>
    <w:rsid w:val="002D53E6"/>
    <w:rsid w:val="002D5790"/>
    <w:rsid w:val="002D5ACC"/>
    <w:rsid w:val="002D6580"/>
    <w:rsid w:val="002D6E65"/>
    <w:rsid w:val="002D7508"/>
    <w:rsid w:val="002E0081"/>
    <w:rsid w:val="002E09B3"/>
    <w:rsid w:val="002E0BFC"/>
    <w:rsid w:val="002E1B00"/>
    <w:rsid w:val="002E1B9E"/>
    <w:rsid w:val="002E2359"/>
    <w:rsid w:val="002E29B8"/>
    <w:rsid w:val="002E30F1"/>
    <w:rsid w:val="002E3791"/>
    <w:rsid w:val="002E4320"/>
    <w:rsid w:val="002E4563"/>
    <w:rsid w:val="002E4DE4"/>
    <w:rsid w:val="002E6260"/>
    <w:rsid w:val="002E6B1E"/>
    <w:rsid w:val="002F0774"/>
    <w:rsid w:val="002F0B5F"/>
    <w:rsid w:val="002F2065"/>
    <w:rsid w:val="002F270C"/>
    <w:rsid w:val="002F297E"/>
    <w:rsid w:val="002F336C"/>
    <w:rsid w:val="002F33A9"/>
    <w:rsid w:val="002F4710"/>
    <w:rsid w:val="002F4EA5"/>
    <w:rsid w:val="002F5025"/>
    <w:rsid w:val="002F5A60"/>
    <w:rsid w:val="002F6416"/>
    <w:rsid w:val="003003D7"/>
    <w:rsid w:val="003011F9"/>
    <w:rsid w:val="00301987"/>
    <w:rsid w:val="00303163"/>
    <w:rsid w:val="003039BA"/>
    <w:rsid w:val="00306D8E"/>
    <w:rsid w:val="00306FA8"/>
    <w:rsid w:val="00307754"/>
    <w:rsid w:val="0031051A"/>
    <w:rsid w:val="00310944"/>
    <w:rsid w:val="00311387"/>
    <w:rsid w:val="00311579"/>
    <w:rsid w:val="003128EF"/>
    <w:rsid w:val="00312CC8"/>
    <w:rsid w:val="00312EC6"/>
    <w:rsid w:val="00313B0A"/>
    <w:rsid w:val="0031555C"/>
    <w:rsid w:val="00315705"/>
    <w:rsid w:val="00320734"/>
    <w:rsid w:val="0032083B"/>
    <w:rsid w:val="00320C01"/>
    <w:rsid w:val="0032116F"/>
    <w:rsid w:val="00322B3A"/>
    <w:rsid w:val="0032322A"/>
    <w:rsid w:val="0032388E"/>
    <w:rsid w:val="003238DC"/>
    <w:rsid w:val="003241BE"/>
    <w:rsid w:val="0032489E"/>
    <w:rsid w:val="00324A71"/>
    <w:rsid w:val="00324BBD"/>
    <w:rsid w:val="00325A60"/>
    <w:rsid w:val="00326D28"/>
    <w:rsid w:val="003270F2"/>
    <w:rsid w:val="00327AFD"/>
    <w:rsid w:val="00327FC7"/>
    <w:rsid w:val="00330ED4"/>
    <w:rsid w:val="00330F80"/>
    <w:rsid w:val="003314E4"/>
    <w:rsid w:val="00333269"/>
    <w:rsid w:val="00333F1B"/>
    <w:rsid w:val="00334CC8"/>
    <w:rsid w:val="003351D0"/>
    <w:rsid w:val="00336533"/>
    <w:rsid w:val="00337218"/>
    <w:rsid w:val="0033749A"/>
    <w:rsid w:val="0033775D"/>
    <w:rsid w:val="00337948"/>
    <w:rsid w:val="003404D9"/>
    <w:rsid w:val="00341356"/>
    <w:rsid w:val="00341D93"/>
    <w:rsid w:val="00343351"/>
    <w:rsid w:val="00343799"/>
    <w:rsid w:val="0034691A"/>
    <w:rsid w:val="00350467"/>
    <w:rsid w:val="00351925"/>
    <w:rsid w:val="00351CF6"/>
    <w:rsid w:val="003528BC"/>
    <w:rsid w:val="003535C5"/>
    <w:rsid w:val="00354FCC"/>
    <w:rsid w:val="00355F78"/>
    <w:rsid w:val="003560F9"/>
    <w:rsid w:val="00356F2C"/>
    <w:rsid w:val="00357AA1"/>
    <w:rsid w:val="00357DA3"/>
    <w:rsid w:val="003604D9"/>
    <w:rsid w:val="00362996"/>
    <w:rsid w:val="003631FB"/>
    <w:rsid w:val="0036360A"/>
    <w:rsid w:val="00363721"/>
    <w:rsid w:val="003648AF"/>
    <w:rsid w:val="00364CF6"/>
    <w:rsid w:val="00365379"/>
    <w:rsid w:val="003655B2"/>
    <w:rsid w:val="00366B2C"/>
    <w:rsid w:val="00366EAA"/>
    <w:rsid w:val="00366FD5"/>
    <w:rsid w:val="003671B6"/>
    <w:rsid w:val="0036756E"/>
    <w:rsid w:val="003675AF"/>
    <w:rsid w:val="00370FCB"/>
    <w:rsid w:val="00371B19"/>
    <w:rsid w:val="0037291C"/>
    <w:rsid w:val="00372CA1"/>
    <w:rsid w:val="00372DF4"/>
    <w:rsid w:val="00373077"/>
    <w:rsid w:val="00373408"/>
    <w:rsid w:val="00373625"/>
    <w:rsid w:val="00376221"/>
    <w:rsid w:val="00376975"/>
    <w:rsid w:val="00380845"/>
    <w:rsid w:val="00380FE9"/>
    <w:rsid w:val="00381E6E"/>
    <w:rsid w:val="0038223D"/>
    <w:rsid w:val="003823C2"/>
    <w:rsid w:val="00382D45"/>
    <w:rsid w:val="0038437D"/>
    <w:rsid w:val="00384483"/>
    <w:rsid w:val="00385E8C"/>
    <w:rsid w:val="003864B4"/>
    <w:rsid w:val="00386AE4"/>
    <w:rsid w:val="00387672"/>
    <w:rsid w:val="00391A8B"/>
    <w:rsid w:val="0039469C"/>
    <w:rsid w:val="00394F83"/>
    <w:rsid w:val="00395E70"/>
    <w:rsid w:val="00396912"/>
    <w:rsid w:val="00396F8C"/>
    <w:rsid w:val="00397521"/>
    <w:rsid w:val="00397AF0"/>
    <w:rsid w:val="003A0674"/>
    <w:rsid w:val="003A0B17"/>
    <w:rsid w:val="003A0C3B"/>
    <w:rsid w:val="003A1A60"/>
    <w:rsid w:val="003A24EF"/>
    <w:rsid w:val="003A448F"/>
    <w:rsid w:val="003A596F"/>
    <w:rsid w:val="003A67C8"/>
    <w:rsid w:val="003B03BE"/>
    <w:rsid w:val="003B0504"/>
    <w:rsid w:val="003B0C7A"/>
    <w:rsid w:val="003B159B"/>
    <w:rsid w:val="003B15AE"/>
    <w:rsid w:val="003B1770"/>
    <w:rsid w:val="003B1868"/>
    <w:rsid w:val="003B1F5A"/>
    <w:rsid w:val="003B2DE0"/>
    <w:rsid w:val="003B3D7B"/>
    <w:rsid w:val="003B3F1F"/>
    <w:rsid w:val="003B6DE7"/>
    <w:rsid w:val="003B735D"/>
    <w:rsid w:val="003C0864"/>
    <w:rsid w:val="003C326E"/>
    <w:rsid w:val="003C33FD"/>
    <w:rsid w:val="003C358A"/>
    <w:rsid w:val="003C3B0B"/>
    <w:rsid w:val="003C3BE3"/>
    <w:rsid w:val="003C41AE"/>
    <w:rsid w:val="003C435A"/>
    <w:rsid w:val="003C48FF"/>
    <w:rsid w:val="003C694C"/>
    <w:rsid w:val="003C7232"/>
    <w:rsid w:val="003D019A"/>
    <w:rsid w:val="003D05D9"/>
    <w:rsid w:val="003D0F23"/>
    <w:rsid w:val="003D1117"/>
    <w:rsid w:val="003D1644"/>
    <w:rsid w:val="003D17AD"/>
    <w:rsid w:val="003D1E45"/>
    <w:rsid w:val="003D3F7B"/>
    <w:rsid w:val="003D4B14"/>
    <w:rsid w:val="003D7D6B"/>
    <w:rsid w:val="003E040C"/>
    <w:rsid w:val="003E0ADC"/>
    <w:rsid w:val="003E2587"/>
    <w:rsid w:val="003E3880"/>
    <w:rsid w:val="003E38A2"/>
    <w:rsid w:val="003E3DE9"/>
    <w:rsid w:val="003E4125"/>
    <w:rsid w:val="003E4A86"/>
    <w:rsid w:val="003E5176"/>
    <w:rsid w:val="003E5929"/>
    <w:rsid w:val="003E5C00"/>
    <w:rsid w:val="003E60BC"/>
    <w:rsid w:val="003E6A59"/>
    <w:rsid w:val="003E6BD8"/>
    <w:rsid w:val="003E6F65"/>
    <w:rsid w:val="003F05ED"/>
    <w:rsid w:val="003F14A7"/>
    <w:rsid w:val="003F1A95"/>
    <w:rsid w:val="003F2930"/>
    <w:rsid w:val="003F369C"/>
    <w:rsid w:val="003F435A"/>
    <w:rsid w:val="003F5288"/>
    <w:rsid w:val="003F5593"/>
    <w:rsid w:val="003F5765"/>
    <w:rsid w:val="003F5DF7"/>
    <w:rsid w:val="003F6005"/>
    <w:rsid w:val="003F6DBA"/>
    <w:rsid w:val="003F71F1"/>
    <w:rsid w:val="00401417"/>
    <w:rsid w:val="00401829"/>
    <w:rsid w:val="00401D7F"/>
    <w:rsid w:val="00402279"/>
    <w:rsid w:val="00402D12"/>
    <w:rsid w:val="00403422"/>
    <w:rsid w:val="00403B3C"/>
    <w:rsid w:val="00404304"/>
    <w:rsid w:val="0040475A"/>
    <w:rsid w:val="004047BB"/>
    <w:rsid w:val="00404F74"/>
    <w:rsid w:val="00405358"/>
    <w:rsid w:val="00405D99"/>
    <w:rsid w:val="00406A31"/>
    <w:rsid w:val="00406D23"/>
    <w:rsid w:val="00406F48"/>
    <w:rsid w:val="00407533"/>
    <w:rsid w:val="00410906"/>
    <w:rsid w:val="00410EC6"/>
    <w:rsid w:val="00411B91"/>
    <w:rsid w:val="00411DFF"/>
    <w:rsid w:val="00412EEC"/>
    <w:rsid w:val="00413C5B"/>
    <w:rsid w:val="00414049"/>
    <w:rsid w:val="004145BF"/>
    <w:rsid w:val="00414A76"/>
    <w:rsid w:val="0041559C"/>
    <w:rsid w:val="00416430"/>
    <w:rsid w:val="00416808"/>
    <w:rsid w:val="004168FF"/>
    <w:rsid w:val="00416C03"/>
    <w:rsid w:val="004174B0"/>
    <w:rsid w:val="004203CE"/>
    <w:rsid w:val="004219ED"/>
    <w:rsid w:val="00422007"/>
    <w:rsid w:val="00422808"/>
    <w:rsid w:val="00423F02"/>
    <w:rsid w:val="00424524"/>
    <w:rsid w:val="00424F77"/>
    <w:rsid w:val="00425335"/>
    <w:rsid w:val="004253F4"/>
    <w:rsid w:val="004253F8"/>
    <w:rsid w:val="00425C0F"/>
    <w:rsid w:val="004303E2"/>
    <w:rsid w:val="00432243"/>
    <w:rsid w:val="004322E6"/>
    <w:rsid w:val="0043264B"/>
    <w:rsid w:val="00433372"/>
    <w:rsid w:val="00433558"/>
    <w:rsid w:val="00433B0E"/>
    <w:rsid w:val="00433B10"/>
    <w:rsid w:val="00433CBF"/>
    <w:rsid w:val="0043555E"/>
    <w:rsid w:val="00436170"/>
    <w:rsid w:val="00436ADC"/>
    <w:rsid w:val="00437A42"/>
    <w:rsid w:val="00440D56"/>
    <w:rsid w:val="00441201"/>
    <w:rsid w:val="004419B4"/>
    <w:rsid w:val="00441D2B"/>
    <w:rsid w:val="00441EDB"/>
    <w:rsid w:val="004449C0"/>
    <w:rsid w:val="004452D5"/>
    <w:rsid w:val="0044540C"/>
    <w:rsid w:val="004463AC"/>
    <w:rsid w:val="0044649D"/>
    <w:rsid w:val="00446745"/>
    <w:rsid w:val="00446F38"/>
    <w:rsid w:val="00447127"/>
    <w:rsid w:val="0044769A"/>
    <w:rsid w:val="00447D90"/>
    <w:rsid w:val="00447FF7"/>
    <w:rsid w:val="004501D8"/>
    <w:rsid w:val="004509BD"/>
    <w:rsid w:val="00450F72"/>
    <w:rsid w:val="00451707"/>
    <w:rsid w:val="00451B86"/>
    <w:rsid w:val="00451D5E"/>
    <w:rsid w:val="00451DEA"/>
    <w:rsid w:val="00452854"/>
    <w:rsid w:val="004541D7"/>
    <w:rsid w:val="00454A55"/>
    <w:rsid w:val="00455B53"/>
    <w:rsid w:val="004561D7"/>
    <w:rsid w:val="00457646"/>
    <w:rsid w:val="004602E2"/>
    <w:rsid w:val="00460926"/>
    <w:rsid w:val="00461CDE"/>
    <w:rsid w:val="0046279F"/>
    <w:rsid w:val="00462C7A"/>
    <w:rsid w:val="0046442E"/>
    <w:rsid w:val="00465528"/>
    <w:rsid w:val="00465B01"/>
    <w:rsid w:val="004670BE"/>
    <w:rsid w:val="004674CF"/>
    <w:rsid w:val="004674E4"/>
    <w:rsid w:val="00470335"/>
    <w:rsid w:val="00470399"/>
    <w:rsid w:val="004703D3"/>
    <w:rsid w:val="004723AE"/>
    <w:rsid w:val="00472CAE"/>
    <w:rsid w:val="00473DA0"/>
    <w:rsid w:val="00473FA3"/>
    <w:rsid w:val="00474595"/>
    <w:rsid w:val="00474C15"/>
    <w:rsid w:val="004752BA"/>
    <w:rsid w:val="00475F84"/>
    <w:rsid w:val="00476364"/>
    <w:rsid w:val="00476FE1"/>
    <w:rsid w:val="00480999"/>
    <w:rsid w:val="00481391"/>
    <w:rsid w:val="00481E35"/>
    <w:rsid w:val="004850F0"/>
    <w:rsid w:val="004855F4"/>
    <w:rsid w:val="00487CF5"/>
    <w:rsid w:val="00490B75"/>
    <w:rsid w:val="004911B3"/>
    <w:rsid w:val="004912AD"/>
    <w:rsid w:val="00491DC5"/>
    <w:rsid w:val="004924EC"/>
    <w:rsid w:val="004930A0"/>
    <w:rsid w:val="004941C6"/>
    <w:rsid w:val="00494672"/>
    <w:rsid w:val="00494A54"/>
    <w:rsid w:val="00494EA3"/>
    <w:rsid w:val="00496C5B"/>
    <w:rsid w:val="00497085"/>
    <w:rsid w:val="00497FA8"/>
    <w:rsid w:val="004A199D"/>
    <w:rsid w:val="004A2719"/>
    <w:rsid w:val="004A3CE2"/>
    <w:rsid w:val="004A4E64"/>
    <w:rsid w:val="004A5389"/>
    <w:rsid w:val="004A5DA8"/>
    <w:rsid w:val="004A5F79"/>
    <w:rsid w:val="004A6624"/>
    <w:rsid w:val="004A6E67"/>
    <w:rsid w:val="004A77CA"/>
    <w:rsid w:val="004A7AE3"/>
    <w:rsid w:val="004B0555"/>
    <w:rsid w:val="004B1063"/>
    <w:rsid w:val="004B119D"/>
    <w:rsid w:val="004B134C"/>
    <w:rsid w:val="004B20A4"/>
    <w:rsid w:val="004B5457"/>
    <w:rsid w:val="004B5D10"/>
    <w:rsid w:val="004B6A5E"/>
    <w:rsid w:val="004B7331"/>
    <w:rsid w:val="004B791A"/>
    <w:rsid w:val="004C12DF"/>
    <w:rsid w:val="004C203E"/>
    <w:rsid w:val="004C27FD"/>
    <w:rsid w:val="004C2883"/>
    <w:rsid w:val="004C39F4"/>
    <w:rsid w:val="004C5686"/>
    <w:rsid w:val="004C6F46"/>
    <w:rsid w:val="004C7F48"/>
    <w:rsid w:val="004D0991"/>
    <w:rsid w:val="004D1251"/>
    <w:rsid w:val="004D1972"/>
    <w:rsid w:val="004D1CF0"/>
    <w:rsid w:val="004D2315"/>
    <w:rsid w:val="004D2318"/>
    <w:rsid w:val="004D3312"/>
    <w:rsid w:val="004D42AF"/>
    <w:rsid w:val="004D48D1"/>
    <w:rsid w:val="004D56B5"/>
    <w:rsid w:val="004D5AFA"/>
    <w:rsid w:val="004D6B05"/>
    <w:rsid w:val="004D6C30"/>
    <w:rsid w:val="004D7865"/>
    <w:rsid w:val="004E0003"/>
    <w:rsid w:val="004E19F9"/>
    <w:rsid w:val="004E2577"/>
    <w:rsid w:val="004E25C3"/>
    <w:rsid w:val="004E2949"/>
    <w:rsid w:val="004E2A03"/>
    <w:rsid w:val="004E45C3"/>
    <w:rsid w:val="004E46A6"/>
    <w:rsid w:val="004E4DE5"/>
    <w:rsid w:val="004E5ED1"/>
    <w:rsid w:val="004E662C"/>
    <w:rsid w:val="004E6A9C"/>
    <w:rsid w:val="004E6FEC"/>
    <w:rsid w:val="004E7053"/>
    <w:rsid w:val="004E7E39"/>
    <w:rsid w:val="004F0473"/>
    <w:rsid w:val="004F0C58"/>
    <w:rsid w:val="004F1407"/>
    <w:rsid w:val="004F1556"/>
    <w:rsid w:val="004F1884"/>
    <w:rsid w:val="004F1B6B"/>
    <w:rsid w:val="004F1DEF"/>
    <w:rsid w:val="004F2978"/>
    <w:rsid w:val="004F2D0A"/>
    <w:rsid w:val="004F3925"/>
    <w:rsid w:val="004F3D6F"/>
    <w:rsid w:val="004F4453"/>
    <w:rsid w:val="004F56AE"/>
    <w:rsid w:val="004F5951"/>
    <w:rsid w:val="004F62A5"/>
    <w:rsid w:val="004F6827"/>
    <w:rsid w:val="004F6AFB"/>
    <w:rsid w:val="004F7AB8"/>
    <w:rsid w:val="00500E2F"/>
    <w:rsid w:val="00501436"/>
    <w:rsid w:val="00501B57"/>
    <w:rsid w:val="005023CB"/>
    <w:rsid w:val="00502A81"/>
    <w:rsid w:val="00502A85"/>
    <w:rsid w:val="00503057"/>
    <w:rsid w:val="00504027"/>
    <w:rsid w:val="00504410"/>
    <w:rsid w:val="00504E6F"/>
    <w:rsid w:val="005068EA"/>
    <w:rsid w:val="005076F8"/>
    <w:rsid w:val="00507947"/>
    <w:rsid w:val="00507AF4"/>
    <w:rsid w:val="00510693"/>
    <w:rsid w:val="00510A03"/>
    <w:rsid w:val="00510A6A"/>
    <w:rsid w:val="00511421"/>
    <w:rsid w:val="00511574"/>
    <w:rsid w:val="00511E17"/>
    <w:rsid w:val="005136C9"/>
    <w:rsid w:val="00513A68"/>
    <w:rsid w:val="00513AB0"/>
    <w:rsid w:val="00514D88"/>
    <w:rsid w:val="005154D8"/>
    <w:rsid w:val="00515DC3"/>
    <w:rsid w:val="00515E7B"/>
    <w:rsid w:val="00516090"/>
    <w:rsid w:val="0051732E"/>
    <w:rsid w:val="00517395"/>
    <w:rsid w:val="005175A8"/>
    <w:rsid w:val="00517B46"/>
    <w:rsid w:val="005214E1"/>
    <w:rsid w:val="00521DC3"/>
    <w:rsid w:val="005226A9"/>
    <w:rsid w:val="00524221"/>
    <w:rsid w:val="00524A08"/>
    <w:rsid w:val="00525C81"/>
    <w:rsid w:val="0052710E"/>
    <w:rsid w:val="0052768D"/>
    <w:rsid w:val="00531A27"/>
    <w:rsid w:val="00531E59"/>
    <w:rsid w:val="0053406E"/>
    <w:rsid w:val="005341A9"/>
    <w:rsid w:val="00534AD6"/>
    <w:rsid w:val="005353C4"/>
    <w:rsid w:val="00536BEB"/>
    <w:rsid w:val="00536D6F"/>
    <w:rsid w:val="00537C6F"/>
    <w:rsid w:val="0054037E"/>
    <w:rsid w:val="00540932"/>
    <w:rsid w:val="00541025"/>
    <w:rsid w:val="005411D5"/>
    <w:rsid w:val="00541A08"/>
    <w:rsid w:val="00542764"/>
    <w:rsid w:val="00542C10"/>
    <w:rsid w:val="00543912"/>
    <w:rsid w:val="00544362"/>
    <w:rsid w:val="00544AC9"/>
    <w:rsid w:val="00546D33"/>
    <w:rsid w:val="00550A0D"/>
    <w:rsid w:val="005516F0"/>
    <w:rsid w:val="005520EF"/>
    <w:rsid w:val="0055260A"/>
    <w:rsid w:val="005535DC"/>
    <w:rsid w:val="005535E7"/>
    <w:rsid w:val="0055506E"/>
    <w:rsid w:val="005553A2"/>
    <w:rsid w:val="00555F78"/>
    <w:rsid w:val="005568AF"/>
    <w:rsid w:val="00557557"/>
    <w:rsid w:val="005577CA"/>
    <w:rsid w:val="00557A62"/>
    <w:rsid w:val="00560E36"/>
    <w:rsid w:val="005616E5"/>
    <w:rsid w:val="0056329D"/>
    <w:rsid w:val="00563F00"/>
    <w:rsid w:val="005642B2"/>
    <w:rsid w:val="00564B06"/>
    <w:rsid w:val="005652ED"/>
    <w:rsid w:val="0056539E"/>
    <w:rsid w:val="005658F6"/>
    <w:rsid w:val="0056724D"/>
    <w:rsid w:val="00570248"/>
    <w:rsid w:val="00570258"/>
    <w:rsid w:val="005704D9"/>
    <w:rsid w:val="005705CA"/>
    <w:rsid w:val="0057091D"/>
    <w:rsid w:val="00570E95"/>
    <w:rsid w:val="0057193F"/>
    <w:rsid w:val="005719C6"/>
    <w:rsid w:val="00572F44"/>
    <w:rsid w:val="0057305E"/>
    <w:rsid w:val="00573D5E"/>
    <w:rsid w:val="00574694"/>
    <w:rsid w:val="0057478D"/>
    <w:rsid w:val="0057526C"/>
    <w:rsid w:val="0057606E"/>
    <w:rsid w:val="00576A5F"/>
    <w:rsid w:val="00576DAA"/>
    <w:rsid w:val="00576F8E"/>
    <w:rsid w:val="005801D6"/>
    <w:rsid w:val="0058038C"/>
    <w:rsid w:val="00580763"/>
    <w:rsid w:val="00581EFE"/>
    <w:rsid w:val="00582C83"/>
    <w:rsid w:val="00582EF0"/>
    <w:rsid w:val="005831ED"/>
    <w:rsid w:val="0058354A"/>
    <w:rsid w:val="00583702"/>
    <w:rsid w:val="0058681A"/>
    <w:rsid w:val="005873E1"/>
    <w:rsid w:val="0058776E"/>
    <w:rsid w:val="00590270"/>
    <w:rsid w:val="00591BEB"/>
    <w:rsid w:val="00592A3B"/>
    <w:rsid w:val="00592C7D"/>
    <w:rsid w:val="00593027"/>
    <w:rsid w:val="00593257"/>
    <w:rsid w:val="0059457B"/>
    <w:rsid w:val="00595C15"/>
    <w:rsid w:val="0059694C"/>
    <w:rsid w:val="00596A9A"/>
    <w:rsid w:val="00596EA0"/>
    <w:rsid w:val="005970AB"/>
    <w:rsid w:val="005A061E"/>
    <w:rsid w:val="005A0F46"/>
    <w:rsid w:val="005A1036"/>
    <w:rsid w:val="005A15BC"/>
    <w:rsid w:val="005A17C8"/>
    <w:rsid w:val="005A1A14"/>
    <w:rsid w:val="005A1A58"/>
    <w:rsid w:val="005A294F"/>
    <w:rsid w:val="005A2E2D"/>
    <w:rsid w:val="005A4289"/>
    <w:rsid w:val="005A5729"/>
    <w:rsid w:val="005A7200"/>
    <w:rsid w:val="005A7778"/>
    <w:rsid w:val="005B0610"/>
    <w:rsid w:val="005B06DB"/>
    <w:rsid w:val="005B0AF9"/>
    <w:rsid w:val="005B0B34"/>
    <w:rsid w:val="005B1A21"/>
    <w:rsid w:val="005B343D"/>
    <w:rsid w:val="005B3A16"/>
    <w:rsid w:val="005B4878"/>
    <w:rsid w:val="005B5439"/>
    <w:rsid w:val="005B6BE5"/>
    <w:rsid w:val="005B72B9"/>
    <w:rsid w:val="005B786F"/>
    <w:rsid w:val="005C03D0"/>
    <w:rsid w:val="005C087B"/>
    <w:rsid w:val="005C166E"/>
    <w:rsid w:val="005C253B"/>
    <w:rsid w:val="005C26DF"/>
    <w:rsid w:val="005C2ADD"/>
    <w:rsid w:val="005C3956"/>
    <w:rsid w:val="005C416C"/>
    <w:rsid w:val="005C51BB"/>
    <w:rsid w:val="005C54E4"/>
    <w:rsid w:val="005C5ED5"/>
    <w:rsid w:val="005C66BC"/>
    <w:rsid w:val="005C6E75"/>
    <w:rsid w:val="005C767C"/>
    <w:rsid w:val="005D0628"/>
    <w:rsid w:val="005D1996"/>
    <w:rsid w:val="005D1C5B"/>
    <w:rsid w:val="005D1D0B"/>
    <w:rsid w:val="005D25DA"/>
    <w:rsid w:val="005D4A7D"/>
    <w:rsid w:val="005E0568"/>
    <w:rsid w:val="005E077D"/>
    <w:rsid w:val="005E0C49"/>
    <w:rsid w:val="005E16CA"/>
    <w:rsid w:val="005E1D16"/>
    <w:rsid w:val="005E1E36"/>
    <w:rsid w:val="005E1FBA"/>
    <w:rsid w:val="005E23FF"/>
    <w:rsid w:val="005E2699"/>
    <w:rsid w:val="005E3FB8"/>
    <w:rsid w:val="005E4125"/>
    <w:rsid w:val="005E4E03"/>
    <w:rsid w:val="005E638E"/>
    <w:rsid w:val="005E653A"/>
    <w:rsid w:val="005E708A"/>
    <w:rsid w:val="005E71DA"/>
    <w:rsid w:val="005E7B11"/>
    <w:rsid w:val="005F0254"/>
    <w:rsid w:val="005F0A57"/>
    <w:rsid w:val="005F1875"/>
    <w:rsid w:val="005F267A"/>
    <w:rsid w:val="005F2D47"/>
    <w:rsid w:val="005F31FB"/>
    <w:rsid w:val="005F3736"/>
    <w:rsid w:val="005F4661"/>
    <w:rsid w:val="005F4B54"/>
    <w:rsid w:val="005F5295"/>
    <w:rsid w:val="005F52C2"/>
    <w:rsid w:val="005F6582"/>
    <w:rsid w:val="005F66ED"/>
    <w:rsid w:val="005F7E7B"/>
    <w:rsid w:val="0060017D"/>
    <w:rsid w:val="006001E8"/>
    <w:rsid w:val="00600C3D"/>
    <w:rsid w:val="006013A4"/>
    <w:rsid w:val="00601800"/>
    <w:rsid w:val="00601A3E"/>
    <w:rsid w:val="00601B4D"/>
    <w:rsid w:val="00601FB6"/>
    <w:rsid w:val="006022F4"/>
    <w:rsid w:val="00602EA6"/>
    <w:rsid w:val="00603134"/>
    <w:rsid w:val="00603D92"/>
    <w:rsid w:val="00603E0E"/>
    <w:rsid w:val="00603FAE"/>
    <w:rsid w:val="00604097"/>
    <w:rsid w:val="006041C3"/>
    <w:rsid w:val="00604AB5"/>
    <w:rsid w:val="00605195"/>
    <w:rsid w:val="006055FB"/>
    <w:rsid w:val="006066C1"/>
    <w:rsid w:val="0060701A"/>
    <w:rsid w:val="00607A85"/>
    <w:rsid w:val="00610A6C"/>
    <w:rsid w:val="00610C30"/>
    <w:rsid w:val="00610C77"/>
    <w:rsid w:val="006119EB"/>
    <w:rsid w:val="00611B4E"/>
    <w:rsid w:val="00611F4A"/>
    <w:rsid w:val="00611FBD"/>
    <w:rsid w:val="00612C60"/>
    <w:rsid w:val="0061350A"/>
    <w:rsid w:val="0061511B"/>
    <w:rsid w:val="006158C5"/>
    <w:rsid w:val="006159B7"/>
    <w:rsid w:val="006165FF"/>
    <w:rsid w:val="00617CB7"/>
    <w:rsid w:val="00621142"/>
    <w:rsid w:val="0062136F"/>
    <w:rsid w:val="006213DC"/>
    <w:rsid w:val="0062187F"/>
    <w:rsid w:val="006227F3"/>
    <w:rsid w:val="0062322B"/>
    <w:rsid w:val="006239D6"/>
    <w:rsid w:val="00623F3F"/>
    <w:rsid w:val="00624661"/>
    <w:rsid w:val="00624B34"/>
    <w:rsid w:val="00626018"/>
    <w:rsid w:val="0062624B"/>
    <w:rsid w:val="00626728"/>
    <w:rsid w:val="006267AF"/>
    <w:rsid w:val="00627B94"/>
    <w:rsid w:val="006309E6"/>
    <w:rsid w:val="0063129D"/>
    <w:rsid w:val="00632155"/>
    <w:rsid w:val="00632446"/>
    <w:rsid w:val="0063331E"/>
    <w:rsid w:val="00634CBB"/>
    <w:rsid w:val="006354B8"/>
    <w:rsid w:val="00635F17"/>
    <w:rsid w:val="006379A5"/>
    <w:rsid w:val="00640B82"/>
    <w:rsid w:val="00640FD6"/>
    <w:rsid w:val="00641902"/>
    <w:rsid w:val="00641B6F"/>
    <w:rsid w:val="00642DFF"/>
    <w:rsid w:val="006435E7"/>
    <w:rsid w:val="00643E30"/>
    <w:rsid w:val="00644928"/>
    <w:rsid w:val="00644C4B"/>
    <w:rsid w:val="006462E7"/>
    <w:rsid w:val="0064705B"/>
    <w:rsid w:val="006471D1"/>
    <w:rsid w:val="0064778F"/>
    <w:rsid w:val="006478EA"/>
    <w:rsid w:val="00647BC7"/>
    <w:rsid w:val="00650701"/>
    <w:rsid w:val="00650841"/>
    <w:rsid w:val="00651A6F"/>
    <w:rsid w:val="00651B4C"/>
    <w:rsid w:val="00651BDC"/>
    <w:rsid w:val="00651FCE"/>
    <w:rsid w:val="00652857"/>
    <w:rsid w:val="00652C5E"/>
    <w:rsid w:val="00653792"/>
    <w:rsid w:val="006537AA"/>
    <w:rsid w:val="00653A28"/>
    <w:rsid w:val="00654A8C"/>
    <w:rsid w:val="0065534A"/>
    <w:rsid w:val="00656380"/>
    <w:rsid w:val="0065647C"/>
    <w:rsid w:val="00656B56"/>
    <w:rsid w:val="00657FE0"/>
    <w:rsid w:val="00660158"/>
    <w:rsid w:val="00660417"/>
    <w:rsid w:val="00660461"/>
    <w:rsid w:val="00660522"/>
    <w:rsid w:val="0066070D"/>
    <w:rsid w:val="00661981"/>
    <w:rsid w:val="00662430"/>
    <w:rsid w:val="006628C4"/>
    <w:rsid w:val="00662B88"/>
    <w:rsid w:val="00663A9D"/>
    <w:rsid w:val="00663CE9"/>
    <w:rsid w:val="00663E7C"/>
    <w:rsid w:val="00663FC3"/>
    <w:rsid w:val="0066422D"/>
    <w:rsid w:val="00667855"/>
    <w:rsid w:val="00667F15"/>
    <w:rsid w:val="006702E9"/>
    <w:rsid w:val="006706C7"/>
    <w:rsid w:val="0067093E"/>
    <w:rsid w:val="00671E67"/>
    <w:rsid w:val="00672482"/>
    <w:rsid w:val="00673A2F"/>
    <w:rsid w:val="00673A4E"/>
    <w:rsid w:val="00674055"/>
    <w:rsid w:val="00674189"/>
    <w:rsid w:val="0067466D"/>
    <w:rsid w:val="00674766"/>
    <w:rsid w:val="00675993"/>
    <w:rsid w:val="006759DC"/>
    <w:rsid w:val="00680803"/>
    <w:rsid w:val="00680956"/>
    <w:rsid w:val="0068193C"/>
    <w:rsid w:val="00681A11"/>
    <w:rsid w:val="006828D0"/>
    <w:rsid w:val="006836EC"/>
    <w:rsid w:val="00684D88"/>
    <w:rsid w:val="00684DAD"/>
    <w:rsid w:val="00686228"/>
    <w:rsid w:val="00686845"/>
    <w:rsid w:val="00687AAC"/>
    <w:rsid w:val="00687E42"/>
    <w:rsid w:val="00690AD0"/>
    <w:rsid w:val="00690D7C"/>
    <w:rsid w:val="00691314"/>
    <w:rsid w:val="0069171E"/>
    <w:rsid w:val="0069196A"/>
    <w:rsid w:val="00691D4E"/>
    <w:rsid w:val="00692697"/>
    <w:rsid w:val="006932E4"/>
    <w:rsid w:val="00693B5F"/>
    <w:rsid w:val="00694351"/>
    <w:rsid w:val="00694738"/>
    <w:rsid w:val="00694A40"/>
    <w:rsid w:val="00694E36"/>
    <w:rsid w:val="00695949"/>
    <w:rsid w:val="00696B2B"/>
    <w:rsid w:val="00696E9B"/>
    <w:rsid w:val="006974E5"/>
    <w:rsid w:val="006977F7"/>
    <w:rsid w:val="00697EC3"/>
    <w:rsid w:val="006A0C8A"/>
    <w:rsid w:val="006A2255"/>
    <w:rsid w:val="006A2728"/>
    <w:rsid w:val="006A3CAB"/>
    <w:rsid w:val="006A3FDB"/>
    <w:rsid w:val="006A4249"/>
    <w:rsid w:val="006A4400"/>
    <w:rsid w:val="006A4638"/>
    <w:rsid w:val="006A4B75"/>
    <w:rsid w:val="006A7E4B"/>
    <w:rsid w:val="006B011A"/>
    <w:rsid w:val="006B12B7"/>
    <w:rsid w:val="006B16EA"/>
    <w:rsid w:val="006B1803"/>
    <w:rsid w:val="006B1ABA"/>
    <w:rsid w:val="006B2A67"/>
    <w:rsid w:val="006B3AB9"/>
    <w:rsid w:val="006B4836"/>
    <w:rsid w:val="006B5256"/>
    <w:rsid w:val="006B53EF"/>
    <w:rsid w:val="006B576E"/>
    <w:rsid w:val="006B6532"/>
    <w:rsid w:val="006B6FEB"/>
    <w:rsid w:val="006B73E5"/>
    <w:rsid w:val="006C0245"/>
    <w:rsid w:val="006C064A"/>
    <w:rsid w:val="006C1D45"/>
    <w:rsid w:val="006C1FD6"/>
    <w:rsid w:val="006C27E8"/>
    <w:rsid w:val="006C2C04"/>
    <w:rsid w:val="006C3EE2"/>
    <w:rsid w:val="006C4268"/>
    <w:rsid w:val="006C4910"/>
    <w:rsid w:val="006C668A"/>
    <w:rsid w:val="006C6B5F"/>
    <w:rsid w:val="006C7003"/>
    <w:rsid w:val="006C7732"/>
    <w:rsid w:val="006D0144"/>
    <w:rsid w:val="006D0531"/>
    <w:rsid w:val="006D0755"/>
    <w:rsid w:val="006D0B90"/>
    <w:rsid w:val="006D12C7"/>
    <w:rsid w:val="006D1355"/>
    <w:rsid w:val="006D1B73"/>
    <w:rsid w:val="006D22D0"/>
    <w:rsid w:val="006D3A84"/>
    <w:rsid w:val="006D3E5D"/>
    <w:rsid w:val="006D454E"/>
    <w:rsid w:val="006D4A7F"/>
    <w:rsid w:val="006D533C"/>
    <w:rsid w:val="006D5713"/>
    <w:rsid w:val="006D64AD"/>
    <w:rsid w:val="006D680B"/>
    <w:rsid w:val="006D78A9"/>
    <w:rsid w:val="006E149C"/>
    <w:rsid w:val="006E14D8"/>
    <w:rsid w:val="006E1D43"/>
    <w:rsid w:val="006E207C"/>
    <w:rsid w:val="006E2778"/>
    <w:rsid w:val="006E2A04"/>
    <w:rsid w:val="006E3C96"/>
    <w:rsid w:val="006E3D11"/>
    <w:rsid w:val="006E4650"/>
    <w:rsid w:val="006E5840"/>
    <w:rsid w:val="006E5BDE"/>
    <w:rsid w:val="006E5D6C"/>
    <w:rsid w:val="006E6390"/>
    <w:rsid w:val="006E6AF9"/>
    <w:rsid w:val="006E6BF7"/>
    <w:rsid w:val="006E7628"/>
    <w:rsid w:val="006E78A9"/>
    <w:rsid w:val="006E7A9C"/>
    <w:rsid w:val="006E7DE7"/>
    <w:rsid w:val="006F00E0"/>
    <w:rsid w:val="006F06A1"/>
    <w:rsid w:val="006F1CED"/>
    <w:rsid w:val="006F2182"/>
    <w:rsid w:val="006F25EE"/>
    <w:rsid w:val="006F45F6"/>
    <w:rsid w:val="006F4845"/>
    <w:rsid w:val="006F48D6"/>
    <w:rsid w:val="006F544E"/>
    <w:rsid w:val="006F5C01"/>
    <w:rsid w:val="006F606F"/>
    <w:rsid w:val="006F6540"/>
    <w:rsid w:val="006F6AE5"/>
    <w:rsid w:val="006F6AF0"/>
    <w:rsid w:val="006F7A28"/>
    <w:rsid w:val="007004DB"/>
    <w:rsid w:val="007007E3"/>
    <w:rsid w:val="0070084F"/>
    <w:rsid w:val="00700EA4"/>
    <w:rsid w:val="007029B5"/>
    <w:rsid w:val="00703219"/>
    <w:rsid w:val="007035BB"/>
    <w:rsid w:val="007038B8"/>
    <w:rsid w:val="00705A53"/>
    <w:rsid w:val="00705DBD"/>
    <w:rsid w:val="00706096"/>
    <w:rsid w:val="007060E9"/>
    <w:rsid w:val="00706782"/>
    <w:rsid w:val="007069F8"/>
    <w:rsid w:val="00706ED5"/>
    <w:rsid w:val="007073BD"/>
    <w:rsid w:val="00710217"/>
    <w:rsid w:val="00710525"/>
    <w:rsid w:val="00710773"/>
    <w:rsid w:val="007107B9"/>
    <w:rsid w:val="00711D48"/>
    <w:rsid w:val="00711DB5"/>
    <w:rsid w:val="007124AC"/>
    <w:rsid w:val="00712B5A"/>
    <w:rsid w:val="00712BB3"/>
    <w:rsid w:val="00713177"/>
    <w:rsid w:val="007153B5"/>
    <w:rsid w:val="00715995"/>
    <w:rsid w:val="00715AC2"/>
    <w:rsid w:val="00715AED"/>
    <w:rsid w:val="0071620D"/>
    <w:rsid w:val="00716478"/>
    <w:rsid w:val="00717ABF"/>
    <w:rsid w:val="00717F2E"/>
    <w:rsid w:val="007215CA"/>
    <w:rsid w:val="00721674"/>
    <w:rsid w:val="00721FF2"/>
    <w:rsid w:val="00722B70"/>
    <w:rsid w:val="00722C15"/>
    <w:rsid w:val="007234E1"/>
    <w:rsid w:val="007251D8"/>
    <w:rsid w:val="00725901"/>
    <w:rsid w:val="007263B2"/>
    <w:rsid w:val="0072690B"/>
    <w:rsid w:val="00726BA9"/>
    <w:rsid w:val="00726E3F"/>
    <w:rsid w:val="00730401"/>
    <w:rsid w:val="0073067E"/>
    <w:rsid w:val="00730F9C"/>
    <w:rsid w:val="00732889"/>
    <w:rsid w:val="007338E2"/>
    <w:rsid w:val="00735B0A"/>
    <w:rsid w:val="00735C06"/>
    <w:rsid w:val="00736F81"/>
    <w:rsid w:val="00737192"/>
    <w:rsid w:val="00740AF2"/>
    <w:rsid w:val="00741389"/>
    <w:rsid w:val="007416D7"/>
    <w:rsid w:val="00741CAC"/>
    <w:rsid w:val="007428DA"/>
    <w:rsid w:val="00742FBE"/>
    <w:rsid w:val="007436AF"/>
    <w:rsid w:val="00744B10"/>
    <w:rsid w:val="00744EC7"/>
    <w:rsid w:val="00744F23"/>
    <w:rsid w:val="007455B0"/>
    <w:rsid w:val="00745F4C"/>
    <w:rsid w:val="00751C21"/>
    <w:rsid w:val="00752647"/>
    <w:rsid w:val="00752FEF"/>
    <w:rsid w:val="0075353A"/>
    <w:rsid w:val="00753FCF"/>
    <w:rsid w:val="00754012"/>
    <w:rsid w:val="0075436D"/>
    <w:rsid w:val="00754740"/>
    <w:rsid w:val="0075486B"/>
    <w:rsid w:val="00754A55"/>
    <w:rsid w:val="007556BE"/>
    <w:rsid w:val="007557AA"/>
    <w:rsid w:val="0075605A"/>
    <w:rsid w:val="00756422"/>
    <w:rsid w:val="00756657"/>
    <w:rsid w:val="00756FD1"/>
    <w:rsid w:val="0075735E"/>
    <w:rsid w:val="00757934"/>
    <w:rsid w:val="00757B9F"/>
    <w:rsid w:val="00757E3A"/>
    <w:rsid w:val="00757EF2"/>
    <w:rsid w:val="00760198"/>
    <w:rsid w:val="00762CED"/>
    <w:rsid w:val="00763426"/>
    <w:rsid w:val="007637B8"/>
    <w:rsid w:val="00763993"/>
    <w:rsid w:val="00763E67"/>
    <w:rsid w:val="007640BA"/>
    <w:rsid w:val="00764384"/>
    <w:rsid w:val="00764A23"/>
    <w:rsid w:val="00764AE6"/>
    <w:rsid w:val="00765942"/>
    <w:rsid w:val="007663BF"/>
    <w:rsid w:val="00766874"/>
    <w:rsid w:val="00767905"/>
    <w:rsid w:val="007706DF"/>
    <w:rsid w:val="00770837"/>
    <w:rsid w:val="00771E43"/>
    <w:rsid w:val="00771F96"/>
    <w:rsid w:val="00772012"/>
    <w:rsid w:val="007720A3"/>
    <w:rsid w:val="00772131"/>
    <w:rsid w:val="007735DC"/>
    <w:rsid w:val="00773AB6"/>
    <w:rsid w:val="00774D2A"/>
    <w:rsid w:val="007757E3"/>
    <w:rsid w:val="00776464"/>
    <w:rsid w:val="0077653D"/>
    <w:rsid w:val="007808C9"/>
    <w:rsid w:val="007813B6"/>
    <w:rsid w:val="00781498"/>
    <w:rsid w:val="00781603"/>
    <w:rsid w:val="0078166D"/>
    <w:rsid w:val="00781707"/>
    <w:rsid w:val="0078175F"/>
    <w:rsid w:val="00781F46"/>
    <w:rsid w:val="0078224F"/>
    <w:rsid w:val="007832B6"/>
    <w:rsid w:val="00783D5F"/>
    <w:rsid w:val="00783ED1"/>
    <w:rsid w:val="00784A1F"/>
    <w:rsid w:val="00784CCB"/>
    <w:rsid w:val="00785235"/>
    <w:rsid w:val="0078590E"/>
    <w:rsid w:val="00785CC1"/>
    <w:rsid w:val="00785F9C"/>
    <w:rsid w:val="00787373"/>
    <w:rsid w:val="0078741F"/>
    <w:rsid w:val="00787F6D"/>
    <w:rsid w:val="00791134"/>
    <w:rsid w:val="0079135D"/>
    <w:rsid w:val="007919D2"/>
    <w:rsid w:val="007919D6"/>
    <w:rsid w:val="007924A9"/>
    <w:rsid w:val="00792CEE"/>
    <w:rsid w:val="007952BA"/>
    <w:rsid w:val="00795317"/>
    <w:rsid w:val="007955A4"/>
    <w:rsid w:val="00796D27"/>
    <w:rsid w:val="0079705F"/>
    <w:rsid w:val="00797804"/>
    <w:rsid w:val="00797816"/>
    <w:rsid w:val="007A04D8"/>
    <w:rsid w:val="007A09EF"/>
    <w:rsid w:val="007A0C2B"/>
    <w:rsid w:val="007A1178"/>
    <w:rsid w:val="007A1C50"/>
    <w:rsid w:val="007A256A"/>
    <w:rsid w:val="007A2C77"/>
    <w:rsid w:val="007A494F"/>
    <w:rsid w:val="007A523C"/>
    <w:rsid w:val="007A5531"/>
    <w:rsid w:val="007A57D7"/>
    <w:rsid w:val="007A5F18"/>
    <w:rsid w:val="007A6C5E"/>
    <w:rsid w:val="007A6F79"/>
    <w:rsid w:val="007A7EAE"/>
    <w:rsid w:val="007B0197"/>
    <w:rsid w:val="007B0AAD"/>
    <w:rsid w:val="007B17C3"/>
    <w:rsid w:val="007B2B76"/>
    <w:rsid w:val="007B4264"/>
    <w:rsid w:val="007B5134"/>
    <w:rsid w:val="007B5AE1"/>
    <w:rsid w:val="007B6296"/>
    <w:rsid w:val="007B7788"/>
    <w:rsid w:val="007B779C"/>
    <w:rsid w:val="007C036A"/>
    <w:rsid w:val="007C1371"/>
    <w:rsid w:val="007C16D2"/>
    <w:rsid w:val="007C247D"/>
    <w:rsid w:val="007C2FED"/>
    <w:rsid w:val="007C3459"/>
    <w:rsid w:val="007C356E"/>
    <w:rsid w:val="007C35CA"/>
    <w:rsid w:val="007C466D"/>
    <w:rsid w:val="007C4ABD"/>
    <w:rsid w:val="007C5819"/>
    <w:rsid w:val="007C675A"/>
    <w:rsid w:val="007C7108"/>
    <w:rsid w:val="007C7A32"/>
    <w:rsid w:val="007D0833"/>
    <w:rsid w:val="007D1764"/>
    <w:rsid w:val="007D222F"/>
    <w:rsid w:val="007D301A"/>
    <w:rsid w:val="007D3736"/>
    <w:rsid w:val="007D47A1"/>
    <w:rsid w:val="007D4B4E"/>
    <w:rsid w:val="007D4E02"/>
    <w:rsid w:val="007D513F"/>
    <w:rsid w:val="007D57C9"/>
    <w:rsid w:val="007D5A84"/>
    <w:rsid w:val="007D65A1"/>
    <w:rsid w:val="007D6D39"/>
    <w:rsid w:val="007D7FDD"/>
    <w:rsid w:val="007E06DE"/>
    <w:rsid w:val="007E0890"/>
    <w:rsid w:val="007E0C62"/>
    <w:rsid w:val="007E12DB"/>
    <w:rsid w:val="007E162E"/>
    <w:rsid w:val="007E1843"/>
    <w:rsid w:val="007E1F20"/>
    <w:rsid w:val="007E2B9F"/>
    <w:rsid w:val="007E4048"/>
    <w:rsid w:val="007E5110"/>
    <w:rsid w:val="007E52E3"/>
    <w:rsid w:val="007E574B"/>
    <w:rsid w:val="007E6BAD"/>
    <w:rsid w:val="007E6F46"/>
    <w:rsid w:val="007F107C"/>
    <w:rsid w:val="007F1212"/>
    <w:rsid w:val="007F16D0"/>
    <w:rsid w:val="007F2D50"/>
    <w:rsid w:val="007F2F4D"/>
    <w:rsid w:val="007F3151"/>
    <w:rsid w:val="007F326F"/>
    <w:rsid w:val="007F385E"/>
    <w:rsid w:val="007F49FF"/>
    <w:rsid w:val="007F5917"/>
    <w:rsid w:val="007F6076"/>
    <w:rsid w:val="007F61E0"/>
    <w:rsid w:val="007F71FC"/>
    <w:rsid w:val="007F7D28"/>
    <w:rsid w:val="008001BA"/>
    <w:rsid w:val="00800989"/>
    <w:rsid w:val="00800D04"/>
    <w:rsid w:val="00800E9D"/>
    <w:rsid w:val="00801E8A"/>
    <w:rsid w:val="00803237"/>
    <w:rsid w:val="00803843"/>
    <w:rsid w:val="00805183"/>
    <w:rsid w:val="00805468"/>
    <w:rsid w:val="00805E39"/>
    <w:rsid w:val="00805F17"/>
    <w:rsid w:val="00805F52"/>
    <w:rsid w:val="00806EE3"/>
    <w:rsid w:val="00807027"/>
    <w:rsid w:val="008118FB"/>
    <w:rsid w:val="00812399"/>
    <w:rsid w:val="008140AE"/>
    <w:rsid w:val="00814382"/>
    <w:rsid w:val="00814EAC"/>
    <w:rsid w:val="00815034"/>
    <w:rsid w:val="0081518D"/>
    <w:rsid w:val="0081569D"/>
    <w:rsid w:val="00815B7D"/>
    <w:rsid w:val="00815F87"/>
    <w:rsid w:val="0081632E"/>
    <w:rsid w:val="00816474"/>
    <w:rsid w:val="008170E3"/>
    <w:rsid w:val="00817B4E"/>
    <w:rsid w:val="00820013"/>
    <w:rsid w:val="0082152E"/>
    <w:rsid w:val="00821AAF"/>
    <w:rsid w:val="0082426F"/>
    <w:rsid w:val="00824598"/>
    <w:rsid w:val="0082479A"/>
    <w:rsid w:val="00825FFA"/>
    <w:rsid w:val="00826588"/>
    <w:rsid w:val="0082691E"/>
    <w:rsid w:val="00826B51"/>
    <w:rsid w:val="0083085C"/>
    <w:rsid w:val="0083131A"/>
    <w:rsid w:val="00832CED"/>
    <w:rsid w:val="00832DE7"/>
    <w:rsid w:val="00834156"/>
    <w:rsid w:val="00834533"/>
    <w:rsid w:val="008349BB"/>
    <w:rsid w:val="00835927"/>
    <w:rsid w:val="0083601F"/>
    <w:rsid w:val="008407A9"/>
    <w:rsid w:val="008408BE"/>
    <w:rsid w:val="008419A2"/>
    <w:rsid w:val="008419E4"/>
    <w:rsid w:val="008427EC"/>
    <w:rsid w:val="00842BD0"/>
    <w:rsid w:val="008444DF"/>
    <w:rsid w:val="0084509F"/>
    <w:rsid w:val="0084517B"/>
    <w:rsid w:val="0084696C"/>
    <w:rsid w:val="008469CE"/>
    <w:rsid w:val="00846CDE"/>
    <w:rsid w:val="00846D27"/>
    <w:rsid w:val="00847748"/>
    <w:rsid w:val="00850FD2"/>
    <w:rsid w:val="00851187"/>
    <w:rsid w:val="00851208"/>
    <w:rsid w:val="008512A9"/>
    <w:rsid w:val="00851E8A"/>
    <w:rsid w:val="008522ED"/>
    <w:rsid w:val="008528F7"/>
    <w:rsid w:val="00852CB7"/>
    <w:rsid w:val="00852DA7"/>
    <w:rsid w:val="00852E74"/>
    <w:rsid w:val="008536EB"/>
    <w:rsid w:val="0085397A"/>
    <w:rsid w:val="00853B35"/>
    <w:rsid w:val="00854D58"/>
    <w:rsid w:val="0085573A"/>
    <w:rsid w:val="00856456"/>
    <w:rsid w:val="00857798"/>
    <w:rsid w:val="008607B8"/>
    <w:rsid w:val="00860A24"/>
    <w:rsid w:val="008629D5"/>
    <w:rsid w:val="008630BA"/>
    <w:rsid w:val="00863EC1"/>
    <w:rsid w:val="00863FF8"/>
    <w:rsid w:val="008650B1"/>
    <w:rsid w:val="00865E79"/>
    <w:rsid w:val="0086617E"/>
    <w:rsid w:val="0086682D"/>
    <w:rsid w:val="00867132"/>
    <w:rsid w:val="00867349"/>
    <w:rsid w:val="00867495"/>
    <w:rsid w:val="00870F2D"/>
    <w:rsid w:val="0087278A"/>
    <w:rsid w:val="00872DA6"/>
    <w:rsid w:val="008734E0"/>
    <w:rsid w:val="00875112"/>
    <w:rsid w:val="008755DF"/>
    <w:rsid w:val="00875D86"/>
    <w:rsid w:val="0087611A"/>
    <w:rsid w:val="0087721E"/>
    <w:rsid w:val="008773CD"/>
    <w:rsid w:val="00877981"/>
    <w:rsid w:val="008808C9"/>
    <w:rsid w:val="008816FB"/>
    <w:rsid w:val="00882848"/>
    <w:rsid w:val="00883AFA"/>
    <w:rsid w:val="00883F9C"/>
    <w:rsid w:val="00883FF6"/>
    <w:rsid w:val="0088411F"/>
    <w:rsid w:val="00884770"/>
    <w:rsid w:val="00885071"/>
    <w:rsid w:val="00885EF9"/>
    <w:rsid w:val="00886479"/>
    <w:rsid w:val="008878AD"/>
    <w:rsid w:val="00891384"/>
    <w:rsid w:val="00892150"/>
    <w:rsid w:val="008922F8"/>
    <w:rsid w:val="008942A1"/>
    <w:rsid w:val="008A0A4C"/>
    <w:rsid w:val="008A0B90"/>
    <w:rsid w:val="008A2076"/>
    <w:rsid w:val="008A2435"/>
    <w:rsid w:val="008A32DF"/>
    <w:rsid w:val="008A3740"/>
    <w:rsid w:val="008A3801"/>
    <w:rsid w:val="008A405C"/>
    <w:rsid w:val="008A4333"/>
    <w:rsid w:val="008A5EDC"/>
    <w:rsid w:val="008A71D0"/>
    <w:rsid w:val="008A7C5B"/>
    <w:rsid w:val="008B0F2C"/>
    <w:rsid w:val="008B2B51"/>
    <w:rsid w:val="008B3424"/>
    <w:rsid w:val="008B37E4"/>
    <w:rsid w:val="008B38F8"/>
    <w:rsid w:val="008B5263"/>
    <w:rsid w:val="008B5532"/>
    <w:rsid w:val="008B557C"/>
    <w:rsid w:val="008B5736"/>
    <w:rsid w:val="008B772E"/>
    <w:rsid w:val="008C0D48"/>
    <w:rsid w:val="008C0DFC"/>
    <w:rsid w:val="008C11EA"/>
    <w:rsid w:val="008C2593"/>
    <w:rsid w:val="008C26A3"/>
    <w:rsid w:val="008C2A4A"/>
    <w:rsid w:val="008C308D"/>
    <w:rsid w:val="008C3940"/>
    <w:rsid w:val="008C3AFD"/>
    <w:rsid w:val="008C4228"/>
    <w:rsid w:val="008C5826"/>
    <w:rsid w:val="008C58F0"/>
    <w:rsid w:val="008C6039"/>
    <w:rsid w:val="008C7AC6"/>
    <w:rsid w:val="008D14C7"/>
    <w:rsid w:val="008D14FC"/>
    <w:rsid w:val="008D1519"/>
    <w:rsid w:val="008D1E9B"/>
    <w:rsid w:val="008D239F"/>
    <w:rsid w:val="008D2F60"/>
    <w:rsid w:val="008D3301"/>
    <w:rsid w:val="008D42EC"/>
    <w:rsid w:val="008D442C"/>
    <w:rsid w:val="008D499C"/>
    <w:rsid w:val="008D4DC1"/>
    <w:rsid w:val="008D5712"/>
    <w:rsid w:val="008D5BAF"/>
    <w:rsid w:val="008E0201"/>
    <w:rsid w:val="008E02EF"/>
    <w:rsid w:val="008E0B4D"/>
    <w:rsid w:val="008E1EE0"/>
    <w:rsid w:val="008E270D"/>
    <w:rsid w:val="008E2846"/>
    <w:rsid w:val="008E37C0"/>
    <w:rsid w:val="008E5396"/>
    <w:rsid w:val="008E55EC"/>
    <w:rsid w:val="008E5972"/>
    <w:rsid w:val="008E5EF3"/>
    <w:rsid w:val="008E6609"/>
    <w:rsid w:val="008E6CFF"/>
    <w:rsid w:val="008E7538"/>
    <w:rsid w:val="008E7D9E"/>
    <w:rsid w:val="008F0609"/>
    <w:rsid w:val="008F113A"/>
    <w:rsid w:val="008F1B53"/>
    <w:rsid w:val="008F25C2"/>
    <w:rsid w:val="008F2DE2"/>
    <w:rsid w:val="008F41F8"/>
    <w:rsid w:val="008F5946"/>
    <w:rsid w:val="008F5E81"/>
    <w:rsid w:val="008F6139"/>
    <w:rsid w:val="008F6140"/>
    <w:rsid w:val="008F61AF"/>
    <w:rsid w:val="008F65FA"/>
    <w:rsid w:val="008F7C2F"/>
    <w:rsid w:val="009010E3"/>
    <w:rsid w:val="0090206C"/>
    <w:rsid w:val="00902337"/>
    <w:rsid w:val="0090425C"/>
    <w:rsid w:val="00904801"/>
    <w:rsid w:val="00904CEE"/>
    <w:rsid w:val="00905EBC"/>
    <w:rsid w:val="0090621B"/>
    <w:rsid w:val="00907011"/>
    <w:rsid w:val="009070BB"/>
    <w:rsid w:val="0091075F"/>
    <w:rsid w:val="00910A67"/>
    <w:rsid w:val="00910C0B"/>
    <w:rsid w:val="009120A0"/>
    <w:rsid w:val="009124D1"/>
    <w:rsid w:val="00913D35"/>
    <w:rsid w:val="009159FD"/>
    <w:rsid w:val="00916F52"/>
    <w:rsid w:val="009173B5"/>
    <w:rsid w:val="0091755E"/>
    <w:rsid w:val="009176AB"/>
    <w:rsid w:val="0092040F"/>
    <w:rsid w:val="00920EDF"/>
    <w:rsid w:val="00921852"/>
    <w:rsid w:val="00921BFD"/>
    <w:rsid w:val="00922218"/>
    <w:rsid w:val="009228B7"/>
    <w:rsid w:val="00923E10"/>
    <w:rsid w:val="00924745"/>
    <w:rsid w:val="009252E9"/>
    <w:rsid w:val="00925604"/>
    <w:rsid w:val="00925655"/>
    <w:rsid w:val="0092581C"/>
    <w:rsid w:val="00926CA8"/>
    <w:rsid w:val="00927562"/>
    <w:rsid w:val="009278E8"/>
    <w:rsid w:val="009305DF"/>
    <w:rsid w:val="00931210"/>
    <w:rsid w:val="0093164C"/>
    <w:rsid w:val="00931704"/>
    <w:rsid w:val="00931C73"/>
    <w:rsid w:val="00931FA7"/>
    <w:rsid w:val="00932079"/>
    <w:rsid w:val="009322D5"/>
    <w:rsid w:val="0093285B"/>
    <w:rsid w:val="00932C86"/>
    <w:rsid w:val="00933218"/>
    <w:rsid w:val="00934124"/>
    <w:rsid w:val="009343F4"/>
    <w:rsid w:val="009345BE"/>
    <w:rsid w:val="009346B9"/>
    <w:rsid w:val="00934A8C"/>
    <w:rsid w:val="00934ADB"/>
    <w:rsid w:val="00934FD0"/>
    <w:rsid w:val="009357A4"/>
    <w:rsid w:val="00935A33"/>
    <w:rsid w:val="00937524"/>
    <w:rsid w:val="00940350"/>
    <w:rsid w:val="0094041C"/>
    <w:rsid w:val="00942877"/>
    <w:rsid w:val="00942904"/>
    <w:rsid w:val="009435D8"/>
    <w:rsid w:val="00943756"/>
    <w:rsid w:val="0094451B"/>
    <w:rsid w:val="00944D8D"/>
    <w:rsid w:val="00944F80"/>
    <w:rsid w:val="009453E7"/>
    <w:rsid w:val="009461E2"/>
    <w:rsid w:val="00947486"/>
    <w:rsid w:val="00947A89"/>
    <w:rsid w:val="00950902"/>
    <w:rsid w:val="00950A54"/>
    <w:rsid w:val="00950EBF"/>
    <w:rsid w:val="00951822"/>
    <w:rsid w:val="00952AAB"/>
    <w:rsid w:val="00952DF8"/>
    <w:rsid w:val="00953E67"/>
    <w:rsid w:val="00954946"/>
    <w:rsid w:val="00954B07"/>
    <w:rsid w:val="00954CBA"/>
    <w:rsid w:val="00955279"/>
    <w:rsid w:val="00955A27"/>
    <w:rsid w:val="00956D38"/>
    <w:rsid w:val="00957B80"/>
    <w:rsid w:val="00957D6A"/>
    <w:rsid w:val="00960880"/>
    <w:rsid w:val="00960C38"/>
    <w:rsid w:val="00960CAB"/>
    <w:rsid w:val="0096163B"/>
    <w:rsid w:val="00961EA0"/>
    <w:rsid w:val="00961FCC"/>
    <w:rsid w:val="00962203"/>
    <w:rsid w:val="00963AB7"/>
    <w:rsid w:val="009652DB"/>
    <w:rsid w:val="00965474"/>
    <w:rsid w:val="00966BEE"/>
    <w:rsid w:val="00967882"/>
    <w:rsid w:val="00967E85"/>
    <w:rsid w:val="0097180B"/>
    <w:rsid w:val="00971A57"/>
    <w:rsid w:val="0097238E"/>
    <w:rsid w:val="00972834"/>
    <w:rsid w:val="00972877"/>
    <w:rsid w:val="00972F5D"/>
    <w:rsid w:val="00973C3C"/>
    <w:rsid w:val="00973C41"/>
    <w:rsid w:val="00974971"/>
    <w:rsid w:val="0097602B"/>
    <w:rsid w:val="009766D5"/>
    <w:rsid w:val="009766E8"/>
    <w:rsid w:val="00976D7E"/>
    <w:rsid w:val="00976DC2"/>
    <w:rsid w:val="0097722E"/>
    <w:rsid w:val="00977297"/>
    <w:rsid w:val="0097754F"/>
    <w:rsid w:val="0097770A"/>
    <w:rsid w:val="00977B17"/>
    <w:rsid w:val="009803DA"/>
    <w:rsid w:val="00981449"/>
    <w:rsid w:val="00981B17"/>
    <w:rsid w:val="00981B88"/>
    <w:rsid w:val="009837ED"/>
    <w:rsid w:val="009838D2"/>
    <w:rsid w:val="00983B75"/>
    <w:rsid w:val="00986277"/>
    <w:rsid w:val="009864ED"/>
    <w:rsid w:val="00987008"/>
    <w:rsid w:val="0098756C"/>
    <w:rsid w:val="00987CA8"/>
    <w:rsid w:val="00990DC9"/>
    <w:rsid w:val="009915F5"/>
    <w:rsid w:val="009936A1"/>
    <w:rsid w:val="00993A0E"/>
    <w:rsid w:val="0099469D"/>
    <w:rsid w:val="00994C3A"/>
    <w:rsid w:val="00994D41"/>
    <w:rsid w:val="0099529B"/>
    <w:rsid w:val="00995B27"/>
    <w:rsid w:val="00995F6C"/>
    <w:rsid w:val="009962ED"/>
    <w:rsid w:val="00997E6E"/>
    <w:rsid w:val="009A044D"/>
    <w:rsid w:val="009A0BF3"/>
    <w:rsid w:val="009A2C0B"/>
    <w:rsid w:val="009A2F54"/>
    <w:rsid w:val="009A3434"/>
    <w:rsid w:val="009A3722"/>
    <w:rsid w:val="009A5BB2"/>
    <w:rsid w:val="009A5BCE"/>
    <w:rsid w:val="009A6853"/>
    <w:rsid w:val="009A6CE9"/>
    <w:rsid w:val="009A73F0"/>
    <w:rsid w:val="009A773A"/>
    <w:rsid w:val="009B1D8B"/>
    <w:rsid w:val="009B1F21"/>
    <w:rsid w:val="009B2424"/>
    <w:rsid w:val="009B2672"/>
    <w:rsid w:val="009B3557"/>
    <w:rsid w:val="009B3C2B"/>
    <w:rsid w:val="009B3E00"/>
    <w:rsid w:val="009B4625"/>
    <w:rsid w:val="009B4B2A"/>
    <w:rsid w:val="009B4CD7"/>
    <w:rsid w:val="009B588E"/>
    <w:rsid w:val="009B6804"/>
    <w:rsid w:val="009B729C"/>
    <w:rsid w:val="009B7527"/>
    <w:rsid w:val="009C0BE0"/>
    <w:rsid w:val="009C1D3D"/>
    <w:rsid w:val="009C29A4"/>
    <w:rsid w:val="009C2E79"/>
    <w:rsid w:val="009C34F5"/>
    <w:rsid w:val="009C4B60"/>
    <w:rsid w:val="009C5889"/>
    <w:rsid w:val="009C5A51"/>
    <w:rsid w:val="009C5DE8"/>
    <w:rsid w:val="009C6CFC"/>
    <w:rsid w:val="009C6F4D"/>
    <w:rsid w:val="009C7ADB"/>
    <w:rsid w:val="009C7C0E"/>
    <w:rsid w:val="009D032F"/>
    <w:rsid w:val="009D0F69"/>
    <w:rsid w:val="009D1B97"/>
    <w:rsid w:val="009D1FFE"/>
    <w:rsid w:val="009D25BE"/>
    <w:rsid w:val="009D3BA6"/>
    <w:rsid w:val="009D43B8"/>
    <w:rsid w:val="009D4DE4"/>
    <w:rsid w:val="009D5CF2"/>
    <w:rsid w:val="009D5D00"/>
    <w:rsid w:val="009D6022"/>
    <w:rsid w:val="009D6151"/>
    <w:rsid w:val="009D72F3"/>
    <w:rsid w:val="009E0076"/>
    <w:rsid w:val="009E062F"/>
    <w:rsid w:val="009E152D"/>
    <w:rsid w:val="009E2607"/>
    <w:rsid w:val="009E3176"/>
    <w:rsid w:val="009E3A70"/>
    <w:rsid w:val="009E3D23"/>
    <w:rsid w:val="009E4891"/>
    <w:rsid w:val="009E5215"/>
    <w:rsid w:val="009E5319"/>
    <w:rsid w:val="009E5430"/>
    <w:rsid w:val="009E57EC"/>
    <w:rsid w:val="009E62BF"/>
    <w:rsid w:val="009E644D"/>
    <w:rsid w:val="009E7BBC"/>
    <w:rsid w:val="009F0393"/>
    <w:rsid w:val="009F214C"/>
    <w:rsid w:val="009F34D5"/>
    <w:rsid w:val="009F4A50"/>
    <w:rsid w:val="009F4D34"/>
    <w:rsid w:val="009F4D76"/>
    <w:rsid w:val="009F6033"/>
    <w:rsid w:val="009F659B"/>
    <w:rsid w:val="009F683A"/>
    <w:rsid w:val="009F6BB9"/>
    <w:rsid w:val="009F7C9F"/>
    <w:rsid w:val="00A00DA2"/>
    <w:rsid w:val="00A010A7"/>
    <w:rsid w:val="00A01B09"/>
    <w:rsid w:val="00A02846"/>
    <w:rsid w:val="00A0315A"/>
    <w:rsid w:val="00A0355E"/>
    <w:rsid w:val="00A065E9"/>
    <w:rsid w:val="00A06B1B"/>
    <w:rsid w:val="00A072F1"/>
    <w:rsid w:val="00A10ABF"/>
    <w:rsid w:val="00A11158"/>
    <w:rsid w:val="00A11341"/>
    <w:rsid w:val="00A11B52"/>
    <w:rsid w:val="00A125F9"/>
    <w:rsid w:val="00A13E66"/>
    <w:rsid w:val="00A147D8"/>
    <w:rsid w:val="00A14862"/>
    <w:rsid w:val="00A14E61"/>
    <w:rsid w:val="00A16C2F"/>
    <w:rsid w:val="00A172C3"/>
    <w:rsid w:val="00A1758D"/>
    <w:rsid w:val="00A20D02"/>
    <w:rsid w:val="00A2108F"/>
    <w:rsid w:val="00A21582"/>
    <w:rsid w:val="00A2288D"/>
    <w:rsid w:val="00A23ABF"/>
    <w:rsid w:val="00A241BB"/>
    <w:rsid w:val="00A242D0"/>
    <w:rsid w:val="00A24663"/>
    <w:rsid w:val="00A255B4"/>
    <w:rsid w:val="00A26D2E"/>
    <w:rsid w:val="00A26F49"/>
    <w:rsid w:val="00A272FF"/>
    <w:rsid w:val="00A273AB"/>
    <w:rsid w:val="00A27713"/>
    <w:rsid w:val="00A30346"/>
    <w:rsid w:val="00A3161B"/>
    <w:rsid w:val="00A32702"/>
    <w:rsid w:val="00A33042"/>
    <w:rsid w:val="00A331F1"/>
    <w:rsid w:val="00A33D60"/>
    <w:rsid w:val="00A34198"/>
    <w:rsid w:val="00A342AF"/>
    <w:rsid w:val="00A346D2"/>
    <w:rsid w:val="00A3507C"/>
    <w:rsid w:val="00A37DA9"/>
    <w:rsid w:val="00A4037E"/>
    <w:rsid w:val="00A41052"/>
    <w:rsid w:val="00A41752"/>
    <w:rsid w:val="00A41EC0"/>
    <w:rsid w:val="00A428DA"/>
    <w:rsid w:val="00A4299D"/>
    <w:rsid w:val="00A442AA"/>
    <w:rsid w:val="00A44FAC"/>
    <w:rsid w:val="00A45076"/>
    <w:rsid w:val="00A46244"/>
    <w:rsid w:val="00A4774E"/>
    <w:rsid w:val="00A503F4"/>
    <w:rsid w:val="00A51056"/>
    <w:rsid w:val="00A52D36"/>
    <w:rsid w:val="00A53764"/>
    <w:rsid w:val="00A55241"/>
    <w:rsid w:val="00A5579E"/>
    <w:rsid w:val="00A55C61"/>
    <w:rsid w:val="00A56B79"/>
    <w:rsid w:val="00A56D66"/>
    <w:rsid w:val="00A57F17"/>
    <w:rsid w:val="00A605BB"/>
    <w:rsid w:val="00A60E6D"/>
    <w:rsid w:val="00A60F82"/>
    <w:rsid w:val="00A613C1"/>
    <w:rsid w:val="00A61637"/>
    <w:rsid w:val="00A61A9D"/>
    <w:rsid w:val="00A6242A"/>
    <w:rsid w:val="00A62754"/>
    <w:rsid w:val="00A634E8"/>
    <w:rsid w:val="00A67BF9"/>
    <w:rsid w:val="00A67FA8"/>
    <w:rsid w:val="00A702C2"/>
    <w:rsid w:val="00A70304"/>
    <w:rsid w:val="00A705B1"/>
    <w:rsid w:val="00A71A8C"/>
    <w:rsid w:val="00A71B80"/>
    <w:rsid w:val="00A731CA"/>
    <w:rsid w:val="00A744AD"/>
    <w:rsid w:val="00A74526"/>
    <w:rsid w:val="00A75071"/>
    <w:rsid w:val="00A766E3"/>
    <w:rsid w:val="00A7789D"/>
    <w:rsid w:val="00A80312"/>
    <w:rsid w:val="00A828F3"/>
    <w:rsid w:val="00A82AC9"/>
    <w:rsid w:val="00A84549"/>
    <w:rsid w:val="00A848F0"/>
    <w:rsid w:val="00A859EC"/>
    <w:rsid w:val="00A85CA1"/>
    <w:rsid w:val="00A8603C"/>
    <w:rsid w:val="00A861DD"/>
    <w:rsid w:val="00A9006F"/>
    <w:rsid w:val="00A904CD"/>
    <w:rsid w:val="00A905D3"/>
    <w:rsid w:val="00A91F84"/>
    <w:rsid w:val="00A9263F"/>
    <w:rsid w:val="00A92715"/>
    <w:rsid w:val="00A93DAD"/>
    <w:rsid w:val="00A95BD2"/>
    <w:rsid w:val="00A96526"/>
    <w:rsid w:val="00A965AE"/>
    <w:rsid w:val="00AA1B25"/>
    <w:rsid w:val="00AA273B"/>
    <w:rsid w:val="00AA2B59"/>
    <w:rsid w:val="00AA31C9"/>
    <w:rsid w:val="00AA40B7"/>
    <w:rsid w:val="00AA4296"/>
    <w:rsid w:val="00AA4836"/>
    <w:rsid w:val="00AA5732"/>
    <w:rsid w:val="00AA5785"/>
    <w:rsid w:val="00AA74D4"/>
    <w:rsid w:val="00AA76B3"/>
    <w:rsid w:val="00AA7D56"/>
    <w:rsid w:val="00AB0443"/>
    <w:rsid w:val="00AB1417"/>
    <w:rsid w:val="00AB2114"/>
    <w:rsid w:val="00AB2FFD"/>
    <w:rsid w:val="00AB3701"/>
    <w:rsid w:val="00AB41CE"/>
    <w:rsid w:val="00AB45A9"/>
    <w:rsid w:val="00AB531D"/>
    <w:rsid w:val="00AB55ED"/>
    <w:rsid w:val="00AB5769"/>
    <w:rsid w:val="00AB7DFE"/>
    <w:rsid w:val="00AC05CB"/>
    <w:rsid w:val="00AC1A98"/>
    <w:rsid w:val="00AC312C"/>
    <w:rsid w:val="00AC3410"/>
    <w:rsid w:val="00AC3836"/>
    <w:rsid w:val="00AC3928"/>
    <w:rsid w:val="00AC4F24"/>
    <w:rsid w:val="00AC5605"/>
    <w:rsid w:val="00AC5B33"/>
    <w:rsid w:val="00AC6244"/>
    <w:rsid w:val="00AC6282"/>
    <w:rsid w:val="00AC68A1"/>
    <w:rsid w:val="00AC753E"/>
    <w:rsid w:val="00AC75EF"/>
    <w:rsid w:val="00AC76D4"/>
    <w:rsid w:val="00AC7FE4"/>
    <w:rsid w:val="00AD0A8F"/>
    <w:rsid w:val="00AD1E30"/>
    <w:rsid w:val="00AD3724"/>
    <w:rsid w:val="00AD3DC3"/>
    <w:rsid w:val="00AD4BD3"/>
    <w:rsid w:val="00AD5141"/>
    <w:rsid w:val="00AD63C1"/>
    <w:rsid w:val="00AD6AAC"/>
    <w:rsid w:val="00AD72AD"/>
    <w:rsid w:val="00AD7300"/>
    <w:rsid w:val="00AD774E"/>
    <w:rsid w:val="00AD79B0"/>
    <w:rsid w:val="00AE0722"/>
    <w:rsid w:val="00AE0F97"/>
    <w:rsid w:val="00AE1A7A"/>
    <w:rsid w:val="00AE27B9"/>
    <w:rsid w:val="00AE3144"/>
    <w:rsid w:val="00AE450B"/>
    <w:rsid w:val="00AE4A68"/>
    <w:rsid w:val="00AE4C30"/>
    <w:rsid w:val="00AE5219"/>
    <w:rsid w:val="00AE63D1"/>
    <w:rsid w:val="00AE6ACF"/>
    <w:rsid w:val="00AE7BE8"/>
    <w:rsid w:val="00AF09B7"/>
    <w:rsid w:val="00AF0B1E"/>
    <w:rsid w:val="00AF1735"/>
    <w:rsid w:val="00AF1B33"/>
    <w:rsid w:val="00AF1E82"/>
    <w:rsid w:val="00AF284C"/>
    <w:rsid w:val="00AF2D60"/>
    <w:rsid w:val="00AF3B2C"/>
    <w:rsid w:val="00AF3B67"/>
    <w:rsid w:val="00AF4411"/>
    <w:rsid w:val="00AF4CAF"/>
    <w:rsid w:val="00AF71E3"/>
    <w:rsid w:val="00AF7289"/>
    <w:rsid w:val="00B003CC"/>
    <w:rsid w:val="00B00666"/>
    <w:rsid w:val="00B01C3E"/>
    <w:rsid w:val="00B01EA5"/>
    <w:rsid w:val="00B01EDF"/>
    <w:rsid w:val="00B023A4"/>
    <w:rsid w:val="00B02ED8"/>
    <w:rsid w:val="00B033DD"/>
    <w:rsid w:val="00B036BE"/>
    <w:rsid w:val="00B041C7"/>
    <w:rsid w:val="00B0486E"/>
    <w:rsid w:val="00B04D47"/>
    <w:rsid w:val="00B05C68"/>
    <w:rsid w:val="00B0639E"/>
    <w:rsid w:val="00B066C1"/>
    <w:rsid w:val="00B06902"/>
    <w:rsid w:val="00B102D3"/>
    <w:rsid w:val="00B10464"/>
    <w:rsid w:val="00B10878"/>
    <w:rsid w:val="00B10C54"/>
    <w:rsid w:val="00B1111C"/>
    <w:rsid w:val="00B11474"/>
    <w:rsid w:val="00B114B0"/>
    <w:rsid w:val="00B11714"/>
    <w:rsid w:val="00B15CF5"/>
    <w:rsid w:val="00B165B5"/>
    <w:rsid w:val="00B1733F"/>
    <w:rsid w:val="00B17383"/>
    <w:rsid w:val="00B20BAE"/>
    <w:rsid w:val="00B20F55"/>
    <w:rsid w:val="00B21697"/>
    <w:rsid w:val="00B22A76"/>
    <w:rsid w:val="00B236D8"/>
    <w:rsid w:val="00B23AD8"/>
    <w:rsid w:val="00B24FEC"/>
    <w:rsid w:val="00B25435"/>
    <w:rsid w:val="00B25BE0"/>
    <w:rsid w:val="00B261F7"/>
    <w:rsid w:val="00B270C4"/>
    <w:rsid w:val="00B270F3"/>
    <w:rsid w:val="00B272C9"/>
    <w:rsid w:val="00B27345"/>
    <w:rsid w:val="00B2751E"/>
    <w:rsid w:val="00B27E10"/>
    <w:rsid w:val="00B31110"/>
    <w:rsid w:val="00B31B7B"/>
    <w:rsid w:val="00B322DC"/>
    <w:rsid w:val="00B323C2"/>
    <w:rsid w:val="00B3286B"/>
    <w:rsid w:val="00B32D81"/>
    <w:rsid w:val="00B330C5"/>
    <w:rsid w:val="00B33F3F"/>
    <w:rsid w:val="00B343F6"/>
    <w:rsid w:val="00B348D4"/>
    <w:rsid w:val="00B353B2"/>
    <w:rsid w:val="00B35866"/>
    <w:rsid w:val="00B36E63"/>
    <w:rsid w:val="00B36FD9"/>
    <w:rsid w:val="00B377CB"/>
    <w:rsid w:val="00B404BE"/>
    <w:rsid w:val="00B40E41"/>
    <w:rsid w:val="00B41132"/>
    <w:rsid w:val="00B41270"/>
    <w:rsid w:val="00B41452"/>
    <w:rsid w:val="00B42F76"/>
    <w:rsid w:val="00B43588"/>
    <w:rsid w:val="00B43E5F"/>
    <w:rsid w:val="00B444E5"/>
    <w:rsid w:val="00B453C2"/>
    <w:rsid w:val="00B46E54"/>
    <w:rsid w:val="00B4717B"/>
    <w:rsid w:val="00B47762"/>
    <w:rsid w:val="00B47B09"/>
    <w:rsid w:val="00B47EBF"/>
    <w:rsid w:val="00B5047A"/>
    <w:rsid w:val="00B507D5"/>
    <w:rsid w:val="00B513F3"/>
    <w:rsid w:val="00B514E4"/>
    <w:rsid w:val="00B51CED"/>
    <w:rsid w:val="00B51DD7"/>
    <w:rsid w:val="00B523EE"/>
    <w:rsid w:val="00B53976"/>
    <w:rsid w:val="00B53B3D"/>
    <w:rsid w:val="00B53B43"/>
    <w:rsid w:val="00B53F60"/>
    <w:rsid w:val="00B55089"/>
    <w:rsid w:val="00B550D8"/>
    <w:rsid w:val="00B552A1"/>
    <w:rsid w:val="00B561FB"/>
    <w:rsid w:val="00B56D0C"/>
    <w:rsid w:val="00B56E48"/>
    <w:rsid w:val="00B60384"/>
    <w:rsid w:val="00B605BE"/>
    <w:rsid w:val="00B60D16"/>
    <w:rsid w:val="00B62167"/>
    <w:rsid w:val="00B631EC"/>
    <w:rsid w:val="00B6449C"/>
    <w:rsid w:val="00B64801"/>
    <w:rsid w:val="00B66CAB"/>
    <w:rsid w:val="00B66CD8"/>
    <w:rsid w:val="00B677F8"/>
    <w:rsid w:val="00B67B00"/>
    <w:rsid w:val="00B71A3A"/>
    <w:rsid w:val="00B729B5"/>
    <w:rsid w:val="00B738C6"/>
    <w:rsid w:val="00B74FBD"/>
    <w:rsid w:val="00B7715A"/>
    <w:rsid w:val="00B77184"/>
    <w:rsid w:val="00B8113B"/>
    <w:rsid w:val="00B835FB"/>
    <w:rsid w:val="00B8481F"/>
    <w:rsid w:val="00B850AA"/>
    <w:rsid w:val="00B85B67"/>
    <w:rsid w:val="00B85FCF"/>
    <w:rsid w:val="00B867B9"/>
    <w:rsid w:val="00B8770E"/>
    <w:rsid w:val="00B87C2E"/>
    <w:rsid w:val="00B90D3B"/>
    <w:rsid w:val="00B918C6"/>
    <w:rsid w:val="00B9197B"/>
    <w:rsid w:val="00B91D12"/>
    <w:rsid w:val="00B92E1B"/>
    <w:rsid w:val="00B93D26"/>
    <w:rsid w:val="00B9496B"/>
    <w:rsid w:val="00B9617B"/>
    <w:rsid w:val="00B9623E"/>
    <w:rsid w:val="00B968A1"/>
    <w:rsid w:val="00B96D19"/>
    <w:rsid w:val="00B96F39"/>
    <w:rsid w:val="00B9798F"/>
    <w:rsid w:val="00B97C96"/>
    <w:rsid w:val="00BA0A66"/>
    <w:rsid w:val="00BA0D9B"/>
    <w:rsid w:val="00BA12A4"/>
    <w:rsid w:val="00BA241B"/>
    <w:rsid w:val="00BA2659"/>
    <w:rsid w:val="00BA2C06"/>
    <w:rsid w:val="00BA302C"/>
    <w:rsid w:val="00BA35E7"/>
    <w:rsid w:val="00BA382A"/>
    <w:rsid w:val="00BA3B6C"/>
    <w:rsid w:val="00BA4336"/>
    <w:rsid w:val="00BA6176"/>
    <w:rsid w:val="00BA6582"/>
    <w:rsid w:val="00BA7253"/>
    <w:rsid w:val="00BB074B"/>
    <w:rsid w:val="00BB0A8A"/>
    <w:rsid w:val="00BB0C9E"/>
    <w:rsid w:val="00BB0D5E"/>
    <w:rsid w:val="00BB0DDF"/>
    <w:rsid w:val="00BB1522"/>
    <w:rsid w:val="00BB1EBF"/>
    <w:rsid w:val="00BB2D10"/>
    <w:rsid w:val="00BB307E"/>
    <w:rsid w:val="00BB3122"/>
    <w:rsid w:val="00BB3BC8"/>
    <w:rsid w:val="00BB43A3"/>
    <w:rsid w:val="00BB453F"/>
    <w:rsid w:val="00BB4FDD"/>
    <w:rsid w:val="00BB545D"/>
    <w:rsid w:val="00BB7B1C"/>
    <w:rsid w:val="00BB7C37"/>
    <w:rsid w:val="00BC07E8"/>
    <w:rsid w:val="00BC0E01"/>
    <w:rsid w:val="00BC10C2"/>
    <w:rsid w:val="00BC10EC"/>
    <w:rsid w:val="00BC1283"/>
    <w:rsid w:val="00BC1477"/>
    <w:rsid w:val="00BC1709"/>
    <w:rsid w:val="00BC17DD"/>
    <w:rsid w:val="00BC2778"/>
    <w:rsid w:val="00BC2DA3"/>
    <w:rsid w:val="00BC36F9"/>
    <w:rsid w:val="00BC45B0"/>
    <w:rsid w:val="00BC4986"/>
    <w:rsid w:val="00BC49E5"/>
    <w:rsid w:val="00BC7EA5"/>
    <w:rsid w:val="00BC7EF7"/>
    <w:rsid w:val="00BD27D9"/>
    <w:rsid w:val="00BD3530"/>
    <w:rsid w:val="00BD35AF"/>
    <w:rsid w:val="00BD4767"/>
    <w:rsid w:val="00BD57BF"/>
    <w:rsid w:val="00BD7037"/>
    <w:rsid w:val="00BD7C22"/>
    <w:rsid w:val="00BE01E7"/>
    <w:rsid w:val="00BE0D90"/>
    <w:rsid w:val="00BE22AD"/>
    <w:rsid w:val="00BE2E48"/>
    <w:rsid w:val="00BE347A"/>
    <w:rsid w:val="00BE3BA2"/>
    <w:rsid w:val="00BE3C1F"/>
    <w:rsid w:val="00BE3DD6"/>
    <w:rsid w:val="00BE4811"/>
    <w:rsid w:val="00BE4BDA"/>
    <w:rsid w:val="00BE5CBF"/>
    <w:rsid w:val="00BE6BB0"/>
    <w:rsid w:val="00BF017A"/>
    <w:rsid w:val="00BF0B03"/>
    <w:rsid w:val="00BF18CA"/>
    <w:rsid w:val="00BF1EC9"/>
    <w:rsid w:val="00BF25B0"/>
    <w:rsid w:val="00BF31B6"/>
    <w:rsid w:val="00BF5BAB"/>
    <w:rsid w:val="00BF5DCB"/>
    <w:rsid w:val="00BF6452"/>
    <w:rsid w:val="00BF7FEA"/>
    <w:rsid w:val="00C00047"/>
    <w:rsid w:val="00C00752"/>
    <w:rsid w:val="00C00BBB"/>
    <w:rsid w:val="00C01219"/>
    <w:rsid w:val="00C01226"/>
    <w:rsid w:val="00C02869"/>
    <w:rsid w:val="00C02E57"/>
    <w:rsid w:val="00C03090"/>
    <w:rsid w:val="00C03222"/>
    <w:rsid w:val="00C0454D"/>
    <w:rsid w:val="00C05639"/>
    <w:rsid w:val="00C05C3E"/>
    <w:rsid w:val="00C05D18"/>
    <w:rsid w:val="00C063B6"/>
    <w:rsid w:val="00C069EF"/>
    <w:rsid w:val="00C06F4F"/>
    <w:rsid w:val="00C071EC"/>
    <w:rsid w:val="00C07F7A"/>
    <w:rsid w:val="00C10151"/>
    <w:rsid w:val="00C10267"/>
    <w:rsid w:val="00C109EE"/>
    <w:rsid w:val="00C1168D"/>
    <w:rsid w:val="00C12249"/>
    <w:rsid w:val="00C12C59"/>
    <w:rsid w:val="00C13000"/>
    <w:rsid w:val="00C13317"/>
    <w:rsid w:val="00C134FE"/>
    <w:rsid w:val="00C1521D"/>
    <w:rsid w:val="00C16243"/>
    <w:rsid w:val="00C16526"/>
    <w:rsid w:val="00C167CE"/>
    <w:rsid w:val="00C20384"/>
    <w:rsid w:val="00C20BA4"/>
    <w:rsid w:val="00C20DC0"/>
    <w:rsid w:val="00C21554"/>
    <w:rsid w:val="00C2185D"/>
    <w:rsid w:val="00C223F5"/>
    <w:rsid w:val="00C231DB"/>
    <w:rsid w:val="00C24445"/>
    <w:rsid w:val="00C248EC"/>
    <w:rsid w:val="00C24AA5"/>
    <w:rsid w:val="00C2529A"/>
    <w:rsid w:val="00C2607B"/>
    <w:rsid w:val="00C30F5A"/>
    <w:rsid w:val="00C3137B"/>
    <w:rsid w:val="00C314ED"/>
    <w:rsid w:val="00C315D9"/>
    <w:rsid w:val="00C31C36"/>
    <w:rsid w:val="00C32920"/>
    <w:rsid w:val="00C338BD"/>
    <w:rsid w:val="00C33CBB"/>
    <w:rsid w:val="00C36A48"/>
    <w:rsid w:val="00C3716B"/>
    <w:rsid w:val="00C37337"/>
    <w:rsid w:val="00C373E8"/>
    <w:rsid w:val="00C405AE"/>
    <w:rsid w:val="00C40B7C"/>
    <w:rsid w:val="00C41433"/>
    <w:rsid w:val="00C418B7"/>
    <w:rsid w:val="00C41B81"/>
    <w:rsid w:val="00C41B8A"/>
    <w:rsid w:val="00C41CDC"/>
    <w:rsid w:val="00C421B9"/>
    <w:rsid w:val="00C42DA7"/>
    <w:rsid w:val="00C43C9F"/>
    <w:rsid w:val="00C44464"/>
    <w:rsid w:val="00C44822"/>
    <w:rsid w:val="00C44AC6"/>
    <w:rsid w:val="00C44EF4"/>
    <w:rsid w:val="00C45578"/>
    <w:rsid w:val="00C4666C"/>
    <w:rsid w:val="00C50B24"/>
    <w:rsid w:val="00C518DC"/>
    <w:rsid w:val="00C51CBE"/>
    <w:rsid w:val="00C5314B"/>
    <w:rsid w:val="00C531A2"/>
    <w:rsid w:val="00C54B4C"/>
    <w:rsid w:val="00C557CE"/>
    <w:rsid w:val="00C56493"/>
    <w:rsid w:val="00C5696D"/>
    <w:rsid w:val="00C5737E"/>
    <w:rsid w:val="00C57C29"/>
    <w:rsid w:val="00C57F62"/>
    <w:rsid w:val="00C61022"/>
    <w:rsid w:val="00C610CF"/>
    <w:rsid w:val="00C62AAE"/>
    <w:rsid w:val="00C63998"/>
    <w:rsid w:val="00C65229"/>
    <w:rsid w:val="00C65417"/>
    <w:rsid w:val="00C65703"/>
    <w:rsid w:val="00C66510"/>
    <w:rsid w:val="00C667CD"/>
    <w:rsid w:val="00C669CE"/>
    <w:rsid w:val="00C66C1F"/>
    <w:rsid w:val="00C70A4B"/>
    <w:rsid w:val="00C70CE1"/>
    <w:rsid w:val="00C7177F"/>
    <w:rsid w:val="00C7205F"/>
    <w:rsid w:val="00C72CB3"/>
    <w:rsid w:val="00C73A81"/>
    <w:rsid w:val="00C754CD"/>
    <w:rsid w:val="00C75868"/>
    <w:rsid w:val="00C75DBA"/>
    <w:rsid w:val="00C7639C"/>
    <w:rsid w:val="00C76AE4"/>
    <w:rsid w:val="00C77214"/>
    <w:rsid w:val="00C77E4F"/>
    <w:rsid w:val="00C80392"/>
    <w:rsid w:val="00C8139F"/>
    <w:rsid w:val="00C815A2"/>
    <w:rsid w:val="00C824F7"/>
    <w:rsid w:val="00C82D66"/>
    <w:rsid w:val="00C838E0"/>
    <w:rsid w:val="00C83BA7"/>
    <w:rsid w:val="00C853C5"/>
    <w:rsid w:val="00C8562F"/>
    <w:rsid w:val="00C857DC"/>
    <w:rsid w:val="00C85E93"/>
    <w:rsid w:val="00C873EA"/>
    <w:rsid w:val="00C90BC3"/>
    <w:rsid w:val="00C90DC1"/>
    <w:rsid w:val="00C923F1"/>
    <w:rsid w:val="00C92830"/>
    <w:rsid w:val="00C92B6A"/>
    <w:rsid w:val="00C92EF0"/>
    <w:rsid w:val="00C9332D"/>
    <w:rsid w:val="00C93570"/>
    <w:rsid w:val="00C9396E"/>
    <w:rsid w:val="00C93DB7"/>
    <w:rsid w:val="00C93F27"/>
    <w:rsid w:val="00C93FC9"/>
    <w:rsid w:val="00C94541"/>
    <w:rsid w:val="00C95A05"/>
    <w:rsid w:val="00C96739"/>
    <w:rsid w:val="00C96840"/>
    <w:rsid w:val="00C9690E"/>
    <w:rsid w:val="00C96E3A"/>
    <w:rsid w:val="00C97864"/>
    <w:rsid w:val="00C978BF"/>
    <w:rsid w:val="00C97956"/>
    <w:rsid w:val="00CA03DC"/>
    <w:rsid w:val="00CA0A27"/>
    <w:rsid w:val="00CA1134"/>
    <w:rsid w:val="00CA12FE"/>
    <w:rsid w:val="00CA16FA"/>
    <w:rsid w:val="00CA1C29"/>
    <w:rsid w:val="00CA2031"/>
    <w:rsid w:val="00CA2228"/>
    <w:rsid w:val="00CA236A"/>
    <w:rsid w:val="00CA3506"/>
    <w:rsid w:val="00CA4047"/>
    <w:rsid w:val="00CA404F"/>
    <w:rsid w:val="00CA50F3"/>
    <w:rsid w:val="00CA5FD5"/>
    <w:rsid w:val="00CA64DD"/>
    <w:rsid w:val="00CA6D77"/>
    <w:rsid w:val="00CA752B"/>
    <w:rsid w:val="00CB079C"/>
    <w:rsid w:val="00CB0EF4"/>
    <w:rsid w:val="00CB1555"/>
    <w:rsid w:val="00CB1EA0"/>
    <w:rsid w:val="00CB2270"/>
    <w:rsid w:val="00CB3F50"/>
    <w:rsid w:val="00CB4AB7"/>
    <w:rsid w:val="00CB50DA"/>
    <w:rsid w:val="00CB5D6C"/>
    <w:rsid w:val="00CB62B5"/>
    <w:rsid w:val="00CB6792"/>
    <w:rsid w:val="00CB74FD"/>
    <w:rsid w:val="00CB7E8F"/>
    <w:rsid w:val="00CB7EE1"/>
    <w:rsid w:val="00CC0C4B"/>
    <w:rsid w:val="00CC1020"/>
    <w:rsid w:val="00CC1359"/>
    <w:rsid w:val="00CC166A"/>
    <w:rsid w:val="00CC181D"/>
    <w:rsid w:val="00CC1FED"/>
    <w:rsid w:val="00CC25CD"/>
    <w:rsid w:val="00CC2885"/>
    <w:rsid w:val="00CC2A05"/>
    <w:rsid w:val="00CC2C17"/>
    <w:rsid w:val="00CC35EC"/>
    <w:rsid w:val="00CC4866"/>
    <w:rsid w:val="00CC51CC"/>
    <w:rsid w:val="00CC531E"/>
    <w:rsid w:val="00CC5C5D"/>
    <w:rsid w:val="00CC7A40"/>
    <w:rsid w:val="00CC7F6F"/>
    <w:rsid w:val="00CD0DC0"/>
    <w:rsid w:val="00CD0E59"/>
    <w:rsid w:val="00CD1207"/>
    <w:rsid w:val="00CD2BB4"/>
    <w:rsid w:val="00CD35A6"/>
    <w:rsid w:val="00CD3949"/>
    <w:rsid w:val="00CD3E4C"/>
    <w:rsid w:val="00CD3F87"/>
    <w:rsid w:val="00CD4ABE"/>
    <w:rsid w:val="00CD4DDB"/>
    <w:rsid w:val="00CD50DF"/>
    <w:rsid w:val="00CD5228"/>
    <w:rsid w:val="00CD662E"/>
    <w:rsid w:val="00CD6BEC"/>
    <w:rsid w:val="00CD7137"/>
    <w:rsid w:val="00CD722B"/>
    <w:rsid w:val="00CD72C4"/>
    <w:rsid w:val="00CD77E8"/>
    <w:rsid w:val="00CD7A4F"/>
    <w:rsid w:val="00CD7BF0"/>
    <w:rsid w:val="00CE0668"/>
    <w:rsid w:val="00CE0CA3"/>
    <w:rsid w:val="00CE0DC4"/>
    <w:rsid w:val="00CE16B5"/>
    <w:rsid w:val="00CE19EC"/>
    <w:rsid w:val="00CE1EF6"/>
    <w:rsid w:val="00CE236A"/>
    <w:rsid w:val="00CE4346"/>
    <w:rsid w:val="00CE446D"/>
    <w:rsid w:val="00CE4EE0"/>
    <w:rsid w:val="00CE5060"/>
    <w:rsid w:val="00CE551D"/>
    <w:rsid w:val="00CE5AB9"/>
    <w:rsid w:val="00CE5B36"/>
    <w:rsid w:val="00CE5BCE"/>
    <w:rsid w:val="00CE6F4F"/>
    <w:rsid w:val="00CE764A"/>
    <w:rsid w:val="00CF023B"/>
    <w:rsid w:val="00CF1341"/>
    <w:rsid w:val="00CF134B"/>
    <w:rsid w:val="00CF1B79"/>
    <w:rsid w:val="00CF2171"/>
    <w:rsid w:val="00CF21D1"/>
    <w:rsid w:val="00CF32A8"/>
    <w:rsid w:val="00CF38E5"/>
    <w:rsid w:val="00CF3906"/>
    <w:rsid w:val="00CF3A46"/>
    <w:rsid w:val="00CF5D0B"/>
    <w:rsid w:val="00CF6D75"/>
    <w:rsid w:val="00CF71DB"/>
    <w:rsid w:val="00CF759C"/>
    <w:rsid w:val="00CF7FAB"/>
    <w:rsid w:val="00D025A5"/>
    <w:rsid w:val="00D03435"/>
    <w:rsid w:val="00D03D9B"/>
    <w:rsid w:val="00D03E48"/>
    <w:rsid w:val="00D03F87"/>
    <w:rsid w:val="00D0414D"/>
    <w:rsid w:val="00D045A5"/>
    <w:rsid w:val="00D054A2"/>
    <w:rsid w:val="00D0561E"/>
    <w:rsid w:val="00D07328"/>
    <w:rsid w:val="00D07488"/>
    <w:rsid w:val="00D0754B"/>
    <w:rsid w:val="00D07B7D"/>
    <w:rsid w:val="00D10A70"/>
    <w:rsid w:val="00D1131C"/>
    <w:rsid w:val="00D113BB"/>
    <w:rsid w:val="00D11407"/>
    <w:rsid w:val="00D1201A"/>
    <w:rsid w:val="00D13BDE"/>
    <w:rsid w:val="00D140F5"/>
    <w:rsid w:val="00D14E23"/>
    <w:rsid w:val="00D152A9"/>
    <w:rsid w:val="00D152C0"/>
    <w:rsid w:val="00D15A17"/>
    <w:rsid w:val="00D16A7B"/>
    <w:rsid w:val="00D16E99"/>
    <w:rsid w:val="00D17F74"/>
    <w:rsid w:val="00D17F7E"/>
    <w:rsid w:val="00D20C02"/>
    <w:rsid w:val="00D20CF9"/>
    <w:rsid w:val="00D210B2"/>
    <w:rsid w:val="00D2133F"/>
    <w:rsid w:val="00D217B2"/>
    <w:rsid w:val="00D21BEE"/>
    <w:rsid w:val="00D22A41"/>
    <w:rsid w:val="00D23677"/>
    <w:rsid w:val="00D23833"/>
    <w:rsid w:val="00D23B42"/>
    <w:rsid w:val="00D24486"/>
    <w:rsid w:val="00D24F5D"/>
    <w:rsid w:val="00D25920"/>
    <w:rsid w:val="00D260BB"/>
    <w:rsid w:val="00D26AA5"/>
    <w:rsid w:val="00D278E0"/>
    <w:rsid w:val="00D30766"/>
    <w:rsid w:val="00D30773"/>
    <w:rsid w:val="00D30CAE"/>
    <w:rsid w:val="00D3139E"/>
    <w:rsid w:val="00D31517"/>
    <w:rsid w:val="00D31D66"/>
    <w:rsid w:val="00D32D87"/>
    <w:rsid w:val="00D330B0"/>
    <w:rsid w:val="00D332C1"/>
    <w:rsid w:val="00D3348F"/>
    <w:rsid w:val="00D336C8"/>
    <w:rsid w:val="00D34542"/>
    <w:rsid w:val="00D34979"/>
    <w:rsid w:val="00D35F13"/>
    <w:rsid w:val="00D3695F"/>
    <w:rsid w:val="00D372CD"/>
    <w:rsid w:val="00D403BE"/>
    <w:rsid w:val="00D41256"/>
    <w:rsid w:val="00D4126E"/>
    <w:rsid w:val="00D422B7"/>
    <w:rsid w:val="00D422DC"/>
    <w:rsid w:val="00D423F2"/>
    <w:rsid w:val="00D42B06"/>
    <w:rsid w:val="00D4309C"/>
    <w:rsid w:val="00D43215"/>
    <w:rsid w:val="00D445FD"/>
    <w:rsid w:val="00D45540"/>
    <w:rsid w:val="00D460AF"/>
    <w:rsid w:val="00D460E2"/>
    <w:rsid w:val="00D46867"/>
    <w:rsid w:val="00D46CC3"/>
    <w:rsid w:val="00D475D2"/>
    <w:rsid w:val="00D50683"/>
    <w:rsid w:val="00D50A8A"/>
    <w:rsid w:val="00D51097"/>
    <w:rsid w:val="00D51A1D"/>
    <w:rsid w:val="00D52905"/>
    <w:rsid w:val="00D52A19"/>
    <w:rsid w:val="00D52CFB"/>
    <w:rsid w:val="00D5307D"/>
    <w:rsid w:val="00D53A47"/>
    <w:rsid w:val="00D540FB"/>
    <w:rsid w:val="00D547B0"/>
    <w:rsid w:val="00D55709"/>
    <w:rsid w:val="00D55BD0"/>
    <w:rsid w:val="00D57974"/>
    <w:rsid w:val="00D57D3D"/>
    <w:rsid w:val="00D60294"/>
    <w:rsid w:val="00D60522"/>
    <w:rsid w:val="00D6086E"/>
    <w:rsid w:val="00D6206D"/>
    <w:rsid w:val="00D62BA6"/>
    <w:rsid w:val="00D62FA3"/>
    <w:rsid w:val="00D6359A"/>
    <w:rsid w:val="00D638B3"/>
    <w:rsid w:val="00D648F7"/>
    <w:rsid w:val="00D64E0E"/>
    <w:rsid w:val="00D651D6"/>
    <w:rsid w:val="00D65ED9"/>
    <w:rsid w:val="00D66BFD"/>
    <w:rsid w:val="00D6722C"/>
    <w:rsid w:val="00D6766A"/>
    <w:rsid w:val="00D67AB9"/>
    <w:rsid w:val="00D70670"/>
    <w:rsid w:val="00D7198A"/>
    <w:rsid w:val="00D72E05"/>
    <w:rsid w:val="00D73390"/>
    <w:rsid w:val="00D73562"/>
    <w:rsid w:val="00D73FCF"/>
    <w:rsid w:val="00D7492B"/>
    <w:rsid w:val="00D75AEA"/>
    <w:rsid w:val="00D779E8"/>
    <w:rsid w:val="00D804AF"/>
    <w:rsid w:val="00D81A66"/>
    <w:rsid w:val="00D822B9"/>
    <w:rsid w:val="00D84695"/>
    <w:rsid w:val="00D851C8"/>
    <w:rsid w:val="00D8587B"/>
    <w:rsid w:val="00D85B7B"/>
    <w:rsid w:val="00D861FA"/>
    <w:rsid w:val="00D863DE"/>
    <w:rsid w:val="00D866B4"/>
    <w:rsid w:val="00D86B81"/>
    <w:rsid w:val="00D90A21"/>
    <w:rsid w:val="00D9222D"/>
    <w:rsid w:val="00D94B94"/>
    <w:rsid w:val="00D9514C"/>
    <w:rsid w:val="00D9572D"/>
    <w:rsid w:val="00D958AA"/>
    <w:rsid w:val="00D95AC2"/>
    <w:rsid w:val="00D96650"/>
    <w:rsid w:val="00D9690C"/>
    <w:rsid w:val="00D96F2A"/>
    <w:rsid w:val="00D97225"/>
    <w:rsid w:val="00D97712"/>
    <w:rsid w:val="00DA334D"/>
    <w:rsid w:val="00DA33B6"/>
    <w:rsid w:val="00DA4965"/>
    <w:rsid w:val="00DA5515"/>
    <w:rsid w:val="00DA5EC4"/>
    <w:rsid w:val="00DA69C6"/>
    <w:rsid w:val="00DA75DB"/>
    <w:rsid w:val="00DB0431"/>
    <w:rsid w:val="00DB187D"/>
    <w:rsid w:val="00DB36EB"/>
    <w:rsid w:val="00DB49D0"/>
    <w:rsid w:val="00DB4AB8"/>
    <w:rsid w:val="00DB4E8D"/>
    <w:rsid w:val="00DB56D9"/>
    <w:rsid w:val="00DB5D1E"/>
    <w:rsid w:val="00DB668A"/>
    <w:rsid w:val="00DB7052"/>
    <w:rsid w:val="00DB70FF"/>
    <w:rsid w:val="00DC00F4"/>
    <w:rsid w:val="00DC06FA"/>
    <w:rsid w:val="00DC0B1C"/>
    <w:rsid w:val="00DC103A"/>
    <w:rsid w:val="00DC131F"/>
    <w:rsid w:val="00DC1D4A"/>
    <w:rsid w:val="00DC21CF"/>
    <w:rsid w:val="00DC2A5F"/>
    <w:rsid w:val="00DC2EDE"/>
    <w:rsid w:val="00DC40F8"/>
    <w:rsid w:val="00DC557C"/>
    <w:rsid w:val="00DC55B2"/>
    <w:rsid w:val="00DC63A4"/>
    <w:rsid w:val="00DC70BB"/>
    <w:rsid w:val="00DC737F"/>
    <w:rsid w:val="00DC76CB"/>
    <w:rsid w:val="00DD0E93"/>
    <w:rsid w:val="00DD10B6"/>
    <w:rsid w:val="00DD16D8"/>
    <w:rsid w:val="00DD1D04"/>
    <w:rsid w:val="00DD2F79"/>
    <w:rsid w:val="00DD307C"/>
    <w:rsid w:val="00DD3207"/>
    <w:rsid w:val="00DD3FC7"/>
    <w:rsid w:val="00DD40E6"/>
    <w:rsid w:val="00DD52AD"/>
    <w:rsid w:val="00DD64EB"/>
    <w:rsid w:val="00DD6A19"/>
    <w:rsid w:val="00DD7448"/>
    <w:rsid w:val="00DD7D43"/>
    <w:rsid w:val="00DE00B4"/>
    <w:rsid w:val="00DE1261"/>
    <w:rsid w:val="00DE17A5"/>
    <w:rsid w:val="00DE1835"/>
    <w:rsid w:val="00DE23BE"/>
    <w:rsid w:val="00DE2470"/>
    <w:rsid w:val="00DE31ED"/>
    <w:rsid w:val="00DE456C"/>
    <w:rsid w:val="00DE4EE4"/>
    <w:rsid w:val="00DE6146"/>
    <w:rsid w:val="00DE6B5A"/>
    <w:rsid w:val="00DE7201"/>
    <w:rsid w:val="00DE7F04"/>
    <w:rsid w:val="00DF01EF"/>
    <w:rsid w:val="00DF0323"/>
    <w:rsid w:val="00DF085F"/>
    <w:rsid w:val="00DF12B5"/>
    <w:rsid w:val="00DF1438"/>
    <w:rsid w:val="00DF285E"/>
    <w:rsid w:val="00DF2B78"/>
    <w:rsid w:val="00DF307F"/>
    <w:rsid w:val="00DF36DC"/>
    <w:rsid w:val="00DF41F7"/>
    <w:rsid w:val="00DF4FE7"/>
    <w:rsid w:val="00DF5324"/>
    <w:rsid w:val="00DF5375"/>
    <w:rsid w:val="00DF5E13"/>
    <w:rsid w:val="00DF7798"/>
    <w:rsid w:val="00E004BD"/>
    <w:rsid w:val="00E02A19"/>
    <w:rsid w:val="00E02E25"/>
    <w:rsid w:val="00E035FC"/>
    <w:rsid w:val="00E03E75"/>
    <w:rsid w:val="00E04568"/>
    <w:rsid w:val="00E045A4"/>
    <w:rsid w:val="00E047F5"/>
    <w:rsid w:val="00E0520F"/>
    <w:rsid w:val="00E10E5D"/>
    <w:rsid w:val="00E11383"/>
    <w:rsid w:val="00E11FEB"/>
    <w:rsid w:val="00E12213"/>
    <w:rsid w:val="00E12679"/>
    <w:rsid w:val="00E12992"/>
    <w:rsid w:val="00E1324C"/>
    <w:rsid w:val="00E136F4"/>
    <w:rsid w:val="00E13A7F"/>
    <w:rsid w:val="00E13DAB"/>
    <w:rsid w:val="00E1435F"/>
    <w:rsid w:val="00E1522A"/>
    <w:rsid w:val="00E157C1"/>
    <w:rsid w:val="00E15A48"/>
    <w:rsid w:val="00E15DCA"/>
    <w:rsid w:val="00E164EF"/>
    <w:rsid w:val="00E17152"/>
    <w:rsid w:val="00E2058C"/>
    <w:rsid w:val="00E205DB"/>
    <w:rsid w:val="00E20BCB"/>
    <w:rsid w:val="00E2359E"/>
    <w:rsid w:val="00E236E4"/>
    <w:rsid w:val="00E24565"/>
    <w:rsid w:val="00E24B42"/>
    <w:rsid w:val="00E26506"/>
    <w:rsid w:val="00E26EF0"/>
    <w:rsid w:val="00E271E7"/>
    <w:rsid w:val="00E2780B"/>
    <w:rsid w:val="00E27D9E"/>
    <w:rsid w:val="00E27E7A"/>
    <w:rsid w:val="00E30FE4"/>
    <w:rsid w:val="00E310BE"/>
    <w:rsid w:val="00E31651"/>
    <w:rsid w:val="00E329BF"/>
    <w:rsid w:val="00E33548"/>
    <w:rsid w:val="00E3429B"/>
    <w:rsid w:val="00E34FA5"/>
    <w:rsid w:val="00E353B0"/>
    <w:rsid w:val="00E354BB"/>
    <w:rsid w:val="00E3559D"/>
    <w:rsid w:val="00E361DD"/>
    <w:rsid w:val="00E36EE3"/>
    <w:rsid w:val="00E3783A"/>
    <w:rsid w:val="00E41579"/>
    <w:rsid w:val="00E41674"/>
    <w:rsid w:val="00E419B0"/>
    <w:rsid w:val="00E42D51"/>
    <w:rsid w:val="00E446DF"/>
    <w:rsid w:val="00E44754"/>
    <w:rsid w:val="00E44789"/>
    <w:rsid w:val="00E44AE1"/>
    <w:rsid w:val="00E45155"/>
    <w:rsid w:val="00E45906"/>
    <w:rsid w:val="00E46AC1"/>
    <w:rsid w:val="00E47E6D"/>
    <w:rsid w:val="00E50446"/>
    <w:rsid w:val="00E5170F"/>
    <w:rsid w:val="00E5222A"/>
    <w:rsid w:val="00E52DBB"/>
    <w:rsid w:val="00E54A91"/>
    <w:rsid w:val="00E552CF"/>
    <w:rsid w:val="00E55C01"/>
    <w:rsid w:val="00E56AE4"/>
    <w:rsid w:val="00E56D46"/>
    <w:rsid w:val="00E56F7E"/>
    <w:rsid w:val="00E5746F"/>
    <w:rsid w:val="00E57673"/>
    <w:rsid w:val="00E57FCA"/>
    <w:rsid w:val="00E60FC9"/>
    <w:rsid w:val="00E614ED"/>
    <w:rsid w:val="00E61558"/>
    <w:rsid w:val="00E619F0"/>
    <w:rsid w:val="00E61EF8"/>
    <w:rsid w:val="00E627AC"/>
    <w:rsid w:val="00E64ECB"/>
    <w:rsid w:val="00E65790"/>
    <w:rsid w:val="00E66201"/>
    <w:rsid w:val="00E664C7"/>
    <w:rsid w:val="00E66A91"/>
    <w:rsid w:val="00E66D53"/>
    <w:rsid w:val="00E6714E"/>
    <w:rsid w:val="00E67238"/>
    <w:rsid w:val="00E71193"/>
    <w:rsid w:val="00E71E35"/>
    <w:rsid w:val="00E720E7"/>
    <w:rsid w:val="00E72875"/>
    <w:rsid w:val="00E730FB"/>
    <w:rsid w:val="00E73F94"/>
    <w:rsid w:val="00E74000"/>
    <w:rsid w:val="00E74057"/>
    <w:rsid w:val="00E74337"/>
    <w:rsid w:val="00E75979"/>
    <w:rsid w:val="00E7691A"/>
    <w:rsid w:val="00E76F34"/>
    <w:rsid w:val="00E77E7B"/>
    <w:rsid w:val="00E80095"/>
    <w:rsid w:val="00E801D6"/>
    <w:rsid w:val="00E8342C"/>
    <w:rsid w:val="00E84AF4"/>
    <w:rsid w:val="00E85F9E"/>
    <w:rsid w:val="00E867AC"/>
    <w:rsid w:val="00E86A3D"/>
    <w:rsid w:val="00E871E1"/>
    <w:rsid w:val="00E908A4"/>
    <w:rsid w:val="00E92918"/>
    <w:rsid w:val="00E929E3"/>
    <w:rsid w:val="00E93273"/>
    <w:rsid w:val="00E93870"/>
    <w:rsid w:val="00E93D99"/>
    <w:rsid w:val="00E945E4"/>
    <w:rsid w:val="00E94B97"/>
    <w:rsid w:val="00E94C1F"/>
    <w:rsid w:val="00E9537C"/>
    <w:rsid w:val="00E9710B"/>
    <w:rsid w:val="00E97355"/>
    <w:rsid w:val="00EA0243"/>
    <w:rsid w:val="00EA073E"/>
    <w:rsid w:val="00EA160A"/>
    <w:rsid w:val="00EA1A99"/>
    <w:rsid w:val="00EA1D93"/>
    <w:rsid w:val="00EA1E9A"/>
    <w:rsid w:val="00EA3A17"/>
    <w:rsid w:val="00EA4DCB"/>
    <w:rsid w:val="00EA5D37"/>
    <w:rsid w:val="00EA5E89"/>
    <w:rsid w:val="00EA7CAD"/>
    <w:rsid w:val="00EA7E21"/>
    <w:rsid w:val="00EA7F74"/>
    <w:rsid w:val="00EB0216"/>
    <w:rsid w:val="00EB0761"/>
    <w:rsid w:val="00EB0DED"/>
    <w:rsid w:val="00EB15AF"/>
    <w:rsid w:val="00EB18F5"/>
    <w:rsid w:val="00EB347E"/>
    <w:rsid w:val="00EB444B"/>
    <w:rsid w:val="00EB4D38"/>
    <w:rsid w:val="00EB5FA3"/>
    <w:rsid w:val="00EB6286"/>
    <w:rsid w:val="00EB6431"/>
    <w:rsid w:val="00EB6A03"/>
    <w:rsid w:val="00EB77B3"/>
    <w:rsid w:val="00EB7A0F"/>
    <w:rsid w:val="00EC08B4"/>
    <w:rsid w:val="00EC0D49"/>
    <w:rsid w:val="00EC1498"/>
    <w:rsid w:val="00EC1E98"/>
    <w:rsid w:val="00EC2BB6"/>
    <w:rsid w:val="00EC2C23"/>
    <w:rsid w:val="00EC2C30"/>
    <w:rsid w:val="00EC4CD4"/>
    <w:rsid w:val="00EC4F2E"/>
    <w:rsid w:val="00EC5BB0"/>
    <w:rsid w:val="00EC618E"/>
    <w:rsid w:val="00EC6C07"/>
    <w:rsid w:val="00EC6F6A"/>
    <w:rsid w:val="00EC7847"/>
    <w:rsid w:val="00EC7E7D"/>
    <w:rsid w:val="00ED155D"/>
    <w:rsid w:val="00ED2288"/>
    <w:rsid w:val="00ED33C0"/>
    <w:rsid w:val="00ED3FB3"/>
    <w:rsid w:val="00ED409D"/>
    <w:rsid w:val="00ED4235"/>
    <w:rsid w:val="00ED4656"/>
    <w:rsid w:val="00ED60A0"/>
    <w:rsid w:val="00ED6EBF"/>
    <w:rsid w:val="00ED7CBC"/>
    <w:rsid w:val="00EE07F9"/>
    <w:rsid w:val="00EE1352"/>
    <w:rsid w:val="00EE247B"/>
    <w:rsid w:val="00EE3460"/>
    <w:rsid w:val="00EE4C4E"/>
    <w:rsid w:val="00EE5517"/>
    <w:rsid w:val="00EE612D"/>
    <w:rsid w:val="00EF01BF"/>
    <w:rsid w:val="00EF0795"/>
    <w:rsid w:val="00EF081B"/>
    <w:rsid w:val="00EF0E1B"/>
    <w:rsid w:val="00EF1622"/>
    <w:rsid w:val="00EF180D"/>
    <w:rsid w:val="00EF2EFD"/>
    <w:rsid w:val="00EF3B0B"/>
    <w:rsid w:val="00EF3F6F"/>
    <w:rsid w:val="00EF4765"/>
    <w:rsid w:val="00EF4AE8"/>
    <w:rsid w:val="00EF4EE9"/>
    <w:rsid w:val="00EF5A2B"/>
    <w:rsid w:val="00EF61F4"/>
    <w:rsid w:val="00EF738D"/>
    <w:rsid w:val="00EF74D3"/>
    <w:rsid w:val="00F00B8E"/>
    <w:rsid w:val="00F00FE9"/>
    <w:rsid w:val="00F0184D"/>
    <w:rsid w:val="00F01E94"/>
    <w:rsid w:val="00F02031"/>
    <w:rsid w:val="00F026AB"/>
    <w:rsid w:val="00F04049"/>
    <w:rsid w:val="00F048BC"/>
    <w:rsid w:val="00F04964"/>
    <w:rsid w:val="00F0510B"/>
    <w:rsid w:val="00F0534F"/>
    <w:rsid w:val="00F054E3"/>
    <w:rsid w:val="00F055C7"/>
    <w:rsid w:val="00F05A90"/>
    <w:rsid w:val="00F07C44"/>
    <w:rsid w:val="00F12514"/>
    <w:rsid w:val="00F135DB"/>
    <w:rsid w:val="00F13884"/>
    <w:rsid w:val="00F13934"/>
    <w:rsid w:val="00F13FEC"/>
    <w:rsid w:val="00F156FC"/>
    <w:rsid w:val="00F1666A"/>
    <w:rsid w:val="00F168A8"/>
    <w:rsid w:val="00F17383"/>
    <w:rsid w:val="00F17680"/>
    <w:rsid w:val="00F21167"/>
    <w:rsid w:val="00F21AFD"/>
    <w:rsid w:val="00F2332A"/>
    <w:rsid w:val="00F2403C"/>
    <w:rsid w:val="00F24D4D"/>
    <w:rsid w:val="00F25CF6"/>
    <w:rsid w:val="00F263B2"/>
    <w:rsid w:val="00F27303"/>
    <w:rsid w:val="00F30449"/>
    <w:rsid w:val="00F307DD"/>
    <w:rsid w:val="00F31BB1"/>
    <w:rsid w:val="00F3281E"/>
    <w:rsid w:val="00F336B4"/>
    <w:rsid w:val="00F35BE4"/>
    <w:rsid w:val="00F35DE6"/>
    <w:rsid w:val="00F368DD"/>
    <w:rsid w:val="00F36C41"/>
    <w:rsid w:val="00F36F75"/>
    <w:rsid w:val="00F37193"/>
    <w:rsid w:val="00F374F3"/>
    <w:rsid w:val="00F40C58"/>
    <w:rsid w:val="00F421C3"/>
    <w:rsid w:val="00F4225F"/>
    <w:rsid w:val="00F429D5"/>
    <w:rsid w:val="00F44762"/>
    <w:rsid w:val="00F44890"/>
    <w:rsid w:val="00F4494C"/>
    <w:rsid w:val="00F44B8B"/>
    <w:rsid w:val="00F4590D"/>
    <w:rsid w:val="00F47ECC"/>
    <w:rsid w:val="00F47F50"/>
    <w:rsid w:val="00F5016C"/>
    <w:rsid w:val="00F50445"/>
    <w:rsid w:val="00F50D4A"/>
    <w:rsid w:val="00F52404"/>
    <w:rsid w:val="00F53099"/>
    <w:rsid w:val="00F5406F"/>
    <w:rsid w:val="00F54301"/>
    <w:rsid w:val="00F548B3"/>
    <w:rsid w:val="00F54CB3"/>
    <w:rsid w:val="00F559DE"/>
    <w:rsid w:val="00F565ED"/>
    <w:rsid w:val="00F6016A"/>
    <w:rsid w:val="00F60CAA"/>
    <w:rsid w:val="00F60FE4"/>
    <w:rsid w:val="00F61184"/>
    <w:rsid w:val="00F611E8"/>
    <w:rsid w:val="00F6156D"/>
    <w:rsid w:val="00F62C85"/>
    <w:rsid w:val="00F62D85"/>
    <w:rsid w:val="00F63AEA"/>
    <w:rsid w:val="00F64687"/>
    <w:rsid w:val="00F6625B"/>
    <w:rsid w:val="00F66AAC"/>
    <w:rsid w:val="00F66DAB"/>
    <w:rsid w:val="00F6775E"/>
    <w:rsid w:val="00F67C59"/>
    <w:rsid w:val="00F67D12"/>
    <w:rsid w:val="00F71144"/>
    <w:rsid w:val="00F71480"/>
    <w:rsid w:val="00F718FD"/>
    <w:rsid w:val="00F71D97"/>
    <w:rsid w:val="00F72A2E"/>
    <w:rsid w:val="00F72AA1"/>
    <w:rsid w:val="00F72CD1"/>
    <w:rsid w:val="00F73255"/>
    <w:rsid w:val="00F747F6"/>
    <w:rsid w:val="00F7552B"/>
    <w:rsid w:val="00F76945"/>
    <w:rsid w:val="00F77E81"/>
    <w:rsid w:val="00F811B5"/>
    <w:rsid w:val="00F8219D"/>
    <w:rsid w:val="00F822C5"/>
    <w:rsid w:val="00F82BF8"/>
    <w:rsid w:val="00F83395"/>
    <w:rsid w:val="00F837C5"/>
    <w:rsid w:val="00F8454D"/>
    <w:rsid w:val="00F85332"/>
    <w:rsid w:val="00F85384"/>
    <w:rsid w:val="00F85D47"/>
    <w:rsid w:val="00F85E37"/>
    <w:rsid w:val="00F869CD"/>
    <w:rsid w:val="00F875B4"/>
    <w:rsid w:val="00F87634"/>
    <w:rsid w:val="00F91209"/>
    <w:rsid w:val="00F91257"/>
    <w:rsid w:val="00F92F2D"/>
    <w:rsid w:val="00F93383"/>
    <w:rsid w:val="00F93D9B"/>
    <w:rsid w:val="00F97117"/>
    <w:rsid w:val="00FA193D"/>
    <w:rsid w:val="00FA19B2"/>
    <w:rsid w:val="00FA28D2"/>
    <w:rsid w:val="00FA2C52"/>
    <w:rsid w:val="00FA2C99"/>
    <w:rsid w:val="00FA3A7F"/>
    <w:rsid w:val="00FA3B47"/>
    <w:rsid w:val="00FA3E11"/>
    <w:rsid w:val="00FA4532"/>
    <w:rsid w:val="00FA45F3"/>
    <w:rsid w:val="00FA4800"/>
    <w:rsid w:val="00FA4A8D"/>
    <w:rsid w:val="00FA4F45"/>
    <w:rsid w:val="00FA510B"/>
    <w:rsid w:val="00FA5123"/>
    <w:rsid w:val="00FA56D8"/>
    <w:rsid w:val="00FA6032"/>
    <w:rsid w:val="00FA6854"/>
    <w:rsid w:val="00FA6C90"/>
    <w:rsid w:val="00FA6F52"/>
    <w:rsid w:val="00FA7641"/>
    <w:rsid w:val="00FB1214"/>
    <w:rsid w:val="00FB175A"/>
    <w:rsid w:val="00FB2430"/>
    <w:rsid w:val="00FB25B3"/>
    <w:rsid w:val="00FB2908"/>
    <w:rsid w:val="00FB2A7C"/>
    <w:rsid w:val="00FB2DB3"/>
    <w:rsid w:val="00FB4512"/>
    <w:rsid w:val="00FB4E6C"/>
    <w:rsid w:val="00FB5208"/>
    <w:rsid w:val="00FB690D"/>
    <w:rsid w:val="00FB723A"/>
    <w:rsid w:val="00FC03F7"/>
    <w:rsid w:val="00FC0428"/>
    <w:rsid w:val="00FC15AF"/>
    <w:rsid w:val="00FC1A52"/>
    <w:rsid w:val="00FC1CAB"/>
    <w:rsid w:val="00FC1FAF"/>
    <w:rsid w:val="00FC5841"/>
    <w:rsid w:val="00FC5C91"/>
    <w:rsid w:val="00FC6116"/>
    <w:rsid w:val="00FC69A9"/>
    <w:rsid w:val="00FC6D19"/>
    <w:rsid w:val="00FC775D"/>
    <w:rsid w:val="00FD03F8"/>
    <w:rsid w:val="00FD07DB"/>
    <w:rsid w:val="00FD0B94"/>
    <w:rsid w:val="00FD0BD8"/>
    <w:rsid w:val="00FD2E02"/>
    <w:rsid w:val="00FD3101"/>
    <w:rsid w:val="00FD3498"/>
    <w:rsid w:val="00FD402C"/>
    <w:rsid w:val="00FD57B8"/>
    <w:rsid w:val="00FD5CDF"/>
    <w:rsid w:val="00FD6F1B"/>
    <w:rsid w:val="00FD7430"/>
    <w:rsid w:val="00FE00C3"/>
    <w:rsid w:val="00FE0EF7"/>
    <w:rsid w:val="00FE12BC"/>
    <w:rsid w:val="00FE211C"/>
    <w:rsid w:val="00FE2516"/>
    <w:rsid w:val="00FE2F78"/>
    <w:rsid w:val="00FE32C5"/>
    <w:rsid w:val="00FE377E"/>
    <w:rsid w:val="00FE4E8A"/>
    <w:rsid w:val="00FE55AF"/>
    <w:rsid w:val="00FE63D2"/>
    <w:rsid w:val="00FE703C"/>
    <w:rsid w:val="00FE74E3"/>
    <w:rsid w:val="00FF0105"/>
    <w:rsid w:val="00FF20ED"/>
    <w:rsid w:val="00FF21DB"/>
    <w:rsid w:val="00FF23B6"/>
    <w:rsid w:val="00FF2E5C"/>
    <w:rsid w:val="00FF3C4A"/>
    <w:rsid w:val="00FF43D4"/>
    <w:rsid w:val="00FF4CC2"/>
    <w:rsid w:val="00FF6960"/>
    <w:rsid w:val="00FF6B18"/>
    <w:rsid w:val="00FF7FA3"/>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19DDC"/>
  <w15:docId w15:val="{11819754-7F06-4104-AE83-56D6EC924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9A5"/>
    <w:pPr>
      <w:spacing w:after="240" w:line="252" w:lineRule="auto"/>
    </w:pPr>
    <w:rPr>
      <w:sz w:val="22"/>
    </w:rPr>
  </w:style>
  <w:style w:type="paragraph" w:styleId="Heading1">
    <w:name w:val="heading 1"/>
    <w:basedOn w:val="Normal"/>
    <w:next w:val="HeadingSpacer"/>
    <w:link w:val="Heading1Char"/>
    <w:uiPriority w:val="9"/>
    <w:qFormat/>
    <w:rsid w:val="00474C15"/>
    <w:pPr>
      <w:keepNext/>
      <w:keepLines/>
      <w:pBdr>
        <w:left w:val="single" w:sz="48" w:space="15" w:color="22A9D0" w:themeColor="accent3"/>
      </w:pBdr>
      <w:spacing w:before="360" w:after="120" w:line="192" w:lineRule="auto"/>
      <w:outlineLvl w:val="0"/>
    </w:pPr>
    <w:rPr>
      <w:rFonts w:ascii="Arial Black" w:eastAsiaTheme="majorEastAsia" w:hAnsi="Arial Black" w:cstheme="majorBidi"/>
      <w:b/>
      <w:bCs/>
      <w:color w:val="041E42"/>
      <w:spacing w:val="-10"/>
      <w:sz w:val="44"/>
      <w:szCs w:val="32"/>
    </w:rPr>
  </w:style>
  <w:style w:type="paragraph" w:styleId="Heading2">
    <w:name w:val="heading 2"/>
    <w:basedOn w:val="Normal"/>
    <w:next w:val="Normal"/>
    <w:link w:val="Heading2Char"/>
    <w:uiPriority w:val="9"/>
    <w:unhideWhenUsed/>
    <w:qFormat/>
    <w:rsid w:val="00944D8D"/>
    <w:pPr>
      <w:keepNext/>
      <w:keepLines/>
      <w:pBdr>
        <w:bottom w:val="single" w:sz="24" w:space="2" w:color="041E42"/>
      </w:pBdr>
      <w:spacing w:before="240"/>
      <w:outlineLvl w:val="1"/>
    </w:pPr>
    <w:rPr>
      <w:rFonts w:ascii="Arial Black" w:eastAsiaTheme="majorEastAsia" w:hAnsi="Arial Black" w:cstheme="majorBidi"/>
      <w:b/>
      <w:bCs/>
      <w:color w:val="041E42"/>
      <w:spacing w:val="-6"/>
      <w:sz w:val="32"/>
      <w:szCs w:val="26"/>
    </w:rPr>
  </w:style>
  <w:style w:type="paragraph" w:styleId="Heading3">
    <w:name w:val="heading 3"/>
    <w:basedOn w:val="Normal"/>
    <w:next w:val="Normal"/>
    <w:link w:val="Heading3Char"/>
    <w:uiPriority w:val="9"/>
    <w:unhideWhenUsed/>
    <w:qFormat/>
    <w:rsid w:val="00191E3C"/>
    <w:pPr>
      <w:keepNext/>
      <w:keepLines/>
      <w:spacing w:before="120" w:after="40"/>
      <w:outlineLvl w:val="2"/>
    </w:pPr>
    <w:rPr>
      <w:rFonts w:eastAsiaTheme="majorEastAsia" w:cstheme="majorBidi"/>
      <w:b/>
      <w:color w:val="041E41"/>
      <w:spacing w:val="6"/>
      <w:sz w:val="28"/>
    </w:rPr>
  </w:style>
  <w:style w:type="paragraph" w:styleId="Heading4">
    <w:name w:val="heading 4"/>
    <w:basedOn w:val="Normal"/>
    <w:next w:val="Normal"/>
    <w:link w:val="Heading4Char"/>
    <w:uiPriority w:val="9"/>
    <w:unhideWhenUsed/>
    <w:qFormat/>
    <w:rsid w:val="00944D8D"/>
    <w:pPr>
      <w:keepNext/>
      <w:keepLines/>
      <w:spacing w:before="40" w:after="0"/>
      <w:outlineLvl w:val="3"/>
    </w:pPr>
    <w:rPr>
      <w:rFonts w:eastAsiaTheme="majorEastAsia" w:cstheme="majorBidi"/>
      <w:b/>
      <w:i/>
      <w:iCs/>
      <w:color w:val="007FAA" w:themeColor="accent2"/>
      <w:sz w:val="24"/>
    </w:rPr>
  </w:style>
  <w:style w:type="paragraph" w:styleId="Heading5">
    <w:name w:val="heading 5"/>
    <w:basedOn w:val="Normal"/>
    <w:next w:val="Normal"/>
    <w:link w:val="Heading5Char"/>
    <w:uiPriority w:val="9"/>
    <w:unhideWhenUsed/>
    <w:qFormat/>
    <w:rsid w:val="00580763"/>
    <w:pPr>
      <w:keepNext/>
      <w:keepLines/>
      <w:spacing w:before="40" w:after="0"/>
      <w:outlineLvl w:val="4"/>
    </w:pPr>
    <w:rPr>
      <w:rFonts w:asciiTheme="majorHAnsi" w:eastAsiaTheme="majorEastAsia" w:hAnsiTheme="majorHAnsi" w:cstheme="majorBidi"/>
      <w:color w:val="03163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nkBullet">
    <w:name w:val="Link Bullet"/>
    <w:basedOn w:val="ListParagraph"/>
    <w:qFormat/>
    <w:rsid w:val="00403B3C"/>
    <w:pPr>
      <w:numPr>
        <w:numId w:val="7"/>
      </w:numPr>
      <w:tabs>
        <w:tab w:val="left" w:pos="360"/>
        <w:tab w:val="left" w:pos="720"/>
        <w:tab w:val="left" w:pos="1080"/>
        <w:tab w:val="left" w:pos="1440"/>
      </w:tabs>
      <w:ind w:left="360"/>
    </w:pPr>
  </w:style>
  <w:style w:type="numbering" w:customStyle="1" w:styleId="ListMultitier">
    <w:name w:val="List Multitier"/>
    <w:uiPriority w:val="99"/>
    <w:rsid w:val="0005091C"/>
    <w:pPr>
      <w:numPr>
        <w:numId w:val="8"/>
      </w:numPr>
    </w:pPr>
  </w:style>
  <w:style w:type="character" w:customStyle="1" w:styleId="Heading1Char">
    <w:name w:val="Heading 1 Char"/>
    <w:basedOn w:val="DefaultParagraphFont"/>
    <w:link w:val="Heading1"/>
    <w:uiPriority w:val="9"/>
    <w:rsid w:val="00474C15"/>
    <w:rPr>
      <w:rFonts w:ascii="Arial Black" w:eastAsiaTheme="majorEastAsia" w:hAnsi="Arial Black" w:cstheme="majorBidi"/>
      <w:b/>
      <w:bCs/>
      <w:color w:val="041E42"/>
      <w:spacing w:val="-10"/>
      <w:sz w:val="44"/>
      <w:szCs w:val="32"/>
    </w:rPr>
  </w:style>
  <w:style w:type="character" w:customStyle="1" w:styleId="Heading2Char">
    <w:name w:val="Heading 2 Char"/>
    <w:basedOn w:val="DefaultParagraphFont"/>
    <w:link w:val="Heading2"/>
    <w:uiPriority w:val="9"/>
    <w:rsid w:val="00944D8D"/>
    <w:rPr>
      <w:rFonts w:ascii="Arial Black" w:eastAsiaTheme="majorEastAsia" w:hAnsi="Arial Black" w:cstheme="majorBidi"/>
      <w:b/>
      <w:bCs/>
      <w:color w:val="041E42"/>
      <w:spacing w:val="-6"/>
      <w:sz w:val="32"/>
      <w:szCs w:val="26"/>
    </w:rPr>
  </w:style>
  <w:style w:type="paragraph" w:styleId="TOCHeading">
    <w:name w:val="TOC Heading"/>
    <w:basedOn w:val="Heading1"/>
    <w:next w:val="Normal"/>
    <w:uiPriority w:val="39"/>
    <w:unhideWhenUsed/>
    <w:qFormat/>
    <w:rsid w:val="00474C15"/>
    <w:pPr>
      <w:spacing w:before="240" w:after="0" w:line="276" w:lineRule="auto"/>
      <w:outlineLvl w:val="9"/>
    </w:pPr>
    <w:rPr>
      <w:sz w:val="36"/>
      <w:szCs w:val="28"/>
    </w:rPr>
  </w:style>
  <w:style w:type="paragraph" w:styleId="TOC1">
    <w:name w:val="toc 1"/>
    <w:basedOn w:val="Normal"/>
    <w:next w:val="Normal"/>
    <w:autoRedefine/>
    <w:uiPriority w:val="39"/>
    <w:unhideWhenUsed/>
    <w:rsid w:val="00A14862"/>
    <w:pPr>
      <w:spacing w:before="120" w:after="0"/>
    </w:pPr>
    <w:rPr>
      <w:b/>
      <w:bCs/>
      <w:color w:val="041E42"/>
    </w:rPr>
  </w:style>
  <w:style w:type="paragraph" w:styleId="TOC2">
    <w:name w:val="toc 2"/>
    <w:basedOn w:val="Normal"/>
    <w:next w:val="Normal"/>
    <w:autoRedefine/>
    <w:uiPriority w:val="39"/>
    <w:unhideWhenUsed/>
    <w:rsid w:val="00BE3C1F"/>
    <w:pPr>
      <w:tabs>
        <w:tab w:val="left" w:pos="360"/>
        <w:tab w:val="right" w:leader="dot" w:pos="9350"/>
      </w:tabs>
      <w:spacing w:after="0"/>
      <w:ind w:left="360"/>
    </w:pPr>
    <w:rPr>
      <w:bCs/>
      <w:szCs w:val="22"/>
    </w:rPr>
  </w:style>
  <w:style w:type="paragraph" w:styleId="TOC3">
    <w:name w:val="toc 3"/>
    <w:basedOn w:val="Normal"/>
    <w:next w:val="Normal"/>
    <w:autoRedefine/>
    <w:uiPriority w:val="39"/>
    <w:unhideWhenUsed/>
    <w:rsid w:val="000734A1"/>
    <w:pPr>
      <w:spacing w:after="0"/>
      <w:ind w:left="360"/>
    </w:pPr>
    <w:rPr>
      <w:szCs w:val="22"/>
    </w:rPr>
  </w:style>
  <w:style w:type="paragraph" w:styleId="TOC4">
    <w:name w:val="toc 4"/>
    <w:basedOn w:val="Normal"/>
    <w:next w:val="Normal"/>
    <w:autoRedefine/>
    <w:uiPriority w:val="39"/>
    <w:semiHidden/>
    <w:unhideWhenUsed/>
    <w:rsid w:val="00E50446"/>
    <w:pPr>
      <w:ind w:left="720"/>
    </w:pPr>
    <w:rPr>
      <w:sz w:val="20"/>
      <w:szCs w:val="20"/>
    </w:rPr>
  </w:style>
  <w:style w:type="paragraph" w:styleId="TOC5">
    <w:name w:val="toc 5"/>
    <w:basedOn w:val="Normal"/>
    <w:next w:val="Normal"/>
    <w:autoRedefine/>
    <w:uiPriority w:val="39"/>
    <w:semiHidden/>
    <w:unhideWhenUsed/>
    <w:rsid w:val="00E50446"/>
    <w:pPr>
      <w:ind w:left="960"/>
    </w:pPr>
    <w:rPr>
      <w:sz w:val="20"/>
      <w:szCs w:val="20"/>
    </w:rPr>
  </w:style>
  <w:style w:type="paragraph" w:styleId="TOC6">
    <w:name w:val="toc 6"/>
    <w:basedOn w:val="Normal"/>
    <w:next w:val="Normal"/>
    <w:autoRedefine/>
    <w:uiPriority w:val="39"/>
    <w:semiHidden/>
    <w:unhideWhenUsed/>
    <w:rsid w:val="00E50446"/>
    <w:pPr>
      <w:ind w:left="1200"/>
    </w:pPr>
    <w:rPr>
      <w:sz w:val="20"/>
      <w:szCs w:val="20"/>
    </w:rPr>
  </w:style>
  <w:style w:type="paragraph" w:styleId="TOC7">
    <w:name w:val="toc 7"/>
    <w:basedOn w:val="Normal"/>
    <w:next w:val="Normal"/>
    <w:autoRedefine/>
    <w:uiPriority w:val="39"/>
    <w:semiHidden/>
    <w:unhideWhenUsed/>
    <w:rsid w:val="00E50446"/>
    <w:pPr>
      <w:ind w:left="1440"/>
    </w:pPr>
    <w:rPr>
      <w:sz w:val="20"/>
      <w:szCs w:val="20"/>
    </w:rPr>
  </w:style>
  <w:style w:type="paragraph" w:styleId="TOC8">
    <w:name w:val="toc 8"/>
    <w:basedOn w:val="Normal"/>
    <w:next w:val="Normal"/>
    <w:autoRedefine/>
    <w:uiPriority w:val="39"/>
    <w:semiHidden/>
    <w:unhideWhenUsed/>
    <w:rsid w:val="00E50446"/>
    <w:pPr>
      <w:ind w:left="1680"/>
    </w:pPr>
    <w:rPr>
      <w:sz w:val="20"/>
      <w:szCs w:val="20"/>
    </w:rPr>
  </w:style>
  <w:style w:type="paragraph" w:styleId="TOC9">
    <w:name w:val="toc 9"/>
    <w:basedOn w:val="Normal"/>
    <w:next w:val="Normal"/>
    <w:autoRedefine/>
    <w:uiPriority w:val="39"/>
    <w:semiHidden/>
    <w:unhideWhenUsed/>
    <w:rsid w:val="00E50446"/>
    <w:pPr>
      <w:ind w:left="1920"/>
    </w:pPr>
    <w:rPr>
      <w:sz w:val="20"/>
      <w:szCs w:val="20"/>
    </w:rPr>
  </w:style>
  <w:style w:type="paragraph" w:styleId="ListParagraph">
    <w:name w:val="List Paragraph"/>
    <w:basedOn w:val="Normal"/>
    <w:link w:val="ListParagraphChar"/>
    <w:uiPriority w:val="34"/>
    <w:qFormat/>
    <w:rsid w:val="00592A3B"/>
    <w:pPr>
      <w:numPr>
        <w:numId w:val="6"/>
      </w:numPr>
      <w:ind w:left="360"/>
      <w:contextualSpacing/>
    </w:pPr>
  </w:style>
  <w:style w:type="character" w:styleId="Hyperlink">
    <w:name w:val="Hyperlink"/>
    <w:basedOn w:val="DefaultParagraphFont"/>
    <w:uiPriority w:val="99"/>
    <w:unhideWhenUsed/>
    <w:rsid w:val="006706C7"/>
    <w:rPr>
      <w:color w:val="041E41" w:themeColor="text2"/>
      <w:u w:val="single"/>
    </w:rPr>
  </w:style>
  <w:style w:type="character" w:customStyle="1" w:styleId="Heading3Char">
    <w:name w:val="Heading 3 Char"/>
    <w:basedOn w:val="DefaultParagraphFont"/>
    <w:link w:val="Heading3"/>
    <w:uiPriority w:val="9"/>
    <w:rsid w:val="00191E3C"/>
    <w:rPr>
      <w:rFonts w:eastAsiaTheme="majorEastAsia" w:cstheme="majorBidi"/>
      <w:b/>
      <w:color w:val="041E41"/>
      <w:spacing w:val="6"/>
      <w:sz w:val="28"/>
    </w:rPr>
  </w:style>
  <w:style w:type="character" w:customStyle="1" w:styleId="Heading4Char">
    <w:name w:val="Heading 4 Char"/>
    <w:basedOn w:val="DefaultParagraphFont"/>
    <w:link w:val="Heading4"/>
    <w:uiPriority w:val="9"/>
    <w:rsid w:val="00944D8D"/>
    <w:rPr>
      <w:rFonts w:eastAsiaTheme="majorEastAsia" w:cstheme="majorBidi"/>
      <w:b/>
      <w:i/>
      <w:iCs/>
      <w:color w:val="007FAA" w:themeColor="accent2"/>
    </w:rPr>
  </w:style>
  <w:style w:type="paragraph" w:customStyle="1" w:styleId="ListParagraphwithbottompadding">
    <w:name w:val="List Paragraph (with bottom padding)"/>
    <w:basedOn w:val="ListParagraph"/>
    <w:qFormat/>
    <w:rsid w:val="001661B2"/>
    <w:pPr>
      <w:contextualSpacing w:val="0"/>
    </w:pPr>
  </w:style>
  <w:style w:type="paragraph" w:styleId="ListNumber">
    <w:name w:val="List Number"/>
    <w:basedOn w:val="BodyText"/>
    <w:uiPriority w:val="99"/>
    <w:unhideWhenUsed/>
    <w:rsid w:val="006F7A28"/>
    <w:pPr>
      <w:numPr>
        <w:ilvl w:val="1"/>
        <w:numId w:val="12"/>
      </w:numPr>
      <w:contextualSpacing/>
    </w:pPr>
  </w:style>
  <w:style w:type="numbering" w:customStyle="1" w:styleId="Style1">
    <w:name w:val="Style1"/>
    <w:uiPriority w:val="99"/>
    <w:rsid w:val="00B85FCF"/>
    <w:pPr>
      <w:numPr>
        <w:numId w:val="5"/>
      </w:numPr>
    </w:pPr>
  </w:style>
  <w:style w:type="paragraph" w:styleId="Title">
    <w:name w:val="Title"/>
    <w:next w:val="Normal"/>
    <w:link w:val="TitleChar"/>
    <w:uiPriority w:val="10"/>
    <w:qFormat/>
    <w:rsid w:val="00191E3C"/>
    <w:pPr>
      <w:spacing w:line="180" w:lineRule="auto"/>
      <w:contextualSpacing/>
    </w:pPr>
    <w:rPr>
      <w:rFonts w:ascii="Arial Black" w:eastAsiaTheme="majorEastAsia" w:hAnsi="Arial Black" w:cstheme="majorBidi"/>
      <w:color w:val="041E41" w:themeColor="text2"/>
      <w:spacing w:val="-10"/>
      <w:kern w:val="28"/>
      <w:sz w:val="56"/>
      <w:szCs w:val="56"/>
    </w:rPr>
  </w:style>
  <w:style w:type="character" w:customStyle="1" w:styleId="TitleChar">
    <w:name w:val="Title Char"/>
    <w:basedOn w:val="DefaultParagraphFont"/>
    <w:link w:val="Title"/>
    <w:uiPriority w:val="10"/>
    <w:rsid w:val="00191E3C"/>
    <w:rPr>
      <w:rFonts w:ascii="Arial Black" w:eastAsiaTheme="majorEastAsia" w:hAnsi="Arial Black" w:cstheme="majorBidi"/>
      <w:color w:val="041E41" w:themeColor="text2"/>
      <w:spacing w:val="-10"/>
      <w:kern w:val="28"/>
      <w:sz w:val="56"/>
      <w:szCs w:val="56"/>
    </w:rPr>
  </w:style>
  <w:style w:type="character" w:customStyle="1" w:styleId="PublicationDate">
    <w:name w:val="Publication Date"/>
    <w:basedOn w:val="DefaultParagraphFont"/>
    <w:uiPriority w:val="1"/>
    <w:rsid w:val="005068EA"/>
    <w:rPr>
      <w:rFonts w:asciiTheme="minorHAnsi" w:hAnsiTheme="minorHAnsi"/>
      <w:b w:val="0"/>
      <w:sz w:val="28"/>
    </w:rPr>
  </w:style>
  <w:style w:type="paragraph" w:styleId="FootnoteText">
    <w:name w:val="footnote text"/>
    <w:basedOn w:val="Normal"/>
    <w:link w:val="FootnoteTextChar"/>
    <w:uiPriority w:val="99"/>
    <w:unhideWhenUsed/>
    <w:rsid w:val="001F57E7"/>
    <w:rPr>
      <w:rFonts w:ascii="Calibri Light" w:hAnsi="Calibri Light"/>
      <w:sz w:val="20"/>
      <w:szCs w:val="20"/>
    </w:rPr>
  </w:style>
  <w:style w:type="character" w:customStyle="1" w:styleId="FootnoteTextChar">
    <w:name w:val="Footnote Text Char"/>
    <w:basedOn w:val="DefaultParagraphFont"/>
    <w:link w:val="FootnoteText"/>
    <w:uiPriority w:val="99"/>
    <w:rsid w:val="001F57E7"/>
    <w:rPr>
      <w:rFonts w:ascii="Calibri Light" w:hAnsi="Calibri Light"/>
      <w:sz w:val="20"/>
      <w:szCs w:val="20"/>
    </w:rPr>
  </w:style>
  <w:style w:type="character" w:styleId="FootnoteReference">
    <w:name w:val="footnote reference"/>
    <w:basedOn w:val="DefaultParagraphFont"/>
    <w:uiPriority w:val="99"/>
    <w:unhideWhenUsed/>
    <w:rsid w:val="005068EA"/>
    <w:rPr>
      <w:vertAlign w:val="superscript"/>
    </w:rPr>
  </w:style>
  <w:style w:type="paragraph" w:customStyle="1" w:styleId="FeatureBox">
    <w:name w:val="Feature Box"/>
    <w:basedOn w:val="Normal"/>
    <w:qFormat/>
    <w:rsid w:val="00114EAC"/>
    <w:pPr>
      <w:pBdr>
        <w:top w:val="single" w:sz="4" w:space="12" w:color="031630" w:themeColor="text2" w:themeShade="BF"/>
        <w:left w:val="single" w:sz="4" w:space="16" w:color="031630" w:themeColor="text2" w:themeShade="BF"/>
        <w:bottom w:val="single" w:sz="4" w:space="12" w:color="031630" w:themeColor="text2" w:themeShade="BF"/>
        <w:right w:val="single" w:sz="4" w:space="16" w:color="031630" w:themeColor="text2" w:themeShade="BF"/>
      </w:pBdr>
      <w:shd w:val="clear" w:color="auto" w:fill="0D3162"/>
      <w:ind w:left="360" w:right="360"/>
    </w:pPr>
  </w:style>
  <w:style w:type="character" w:styleId="Strong">
    <w:name w:val="Strong"/>
    <w:basedOn w:val="DefaultParagraphFont"/>
    <w:uiPriority w:val="22"/>
    <w:qFormat/>
    <w:rsid w:val="001F57E7"/>
    <w:rPr>
      <w:b/>
      <w:bCs/>
    </w:rPr>
  </w:style>
  <w:style w:type="paragraph" w:styleId="BodyText">
    <w:name w:val="Body Text"/>
    <w:basedOn w:val="Normal"/>
    <w:link w:val="BodyTextChar"/>
    <w:uiPriority w:val="99"/>
    <w:unhideWhenUsed/>
    <w:rsid w:val="00AC76D4"/>
    <w:pPr>
      <w:spacing w:after="0"/>
    </w:pPr>
  </w:style>
  <w:style w:type="character" w:customStyle="1" w:styleId="BodyTextChar">
    <w:name w:val="Body Text Char"/>
    <w:basedOn w:val="DefaultParagraphFont"/>
    <w:link w:val="BodyText"/>
    <w:uiPriority w:val="99"/>
    <w:rsid w:val="00AC76D4"/>
    <w:rPr>
      <w:sz w:val="22"/>
    </w:rPr>
  </w:style>
  <w:style w:type="character" w:styleId="FollowedHyperlink">
    <w:name w:val="FollowedHyperlink"/>
    <w:basedOn w:val="DefaultParagraphFont"/>
    <w:uiPriority w:val="99"/>
    <w:semiHidden/>
    <w:unhideWhenUsed/>
    <w:rsid w:val="00D07B7D"/>
    <w:rPr>
      <w:color w:val="031630" w:themeColor="text2" w:themeShade="BF"/>
      <w:u w:val="single"/>
    </w:rPr>
  </w:style>
  <w:style w:type="paragraph" w:styleId="Header">
    <w:name w:val="header"/>
    <w:basedOn w:val="Normal"/>
    <w:link w:val="HeaderChar"/>
    <w:uiPriority w:val="99"/>
    <w:unhideWhenUsed/>
    <w:rsid w:val="00491D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DC5"/>
    <w:rPr>
      <w:sz w:val="22"/>
    </w:rPr>
  </w:style>
  <w:style w:type="paragraph" w:styleId="Footer">
    <w:name w:val="footer"/>
    <w:basedOn w:val="Normal"/>
    <w:link w:val="FooterChar"/>
    <w:uiPriority w:val="99"/>
    <w:unhideWhenUsed/>
    <w:rsid w:val="002338A3"/>
    <w:pPr>
      <w:tabs>
        <w:tab w:val="center" w:pos="4680"/>
        <w:tab w:val="right" w:pos="9360"/>
      </w:tabs>
      <w:spacing w:after="0" w:line="240" w:lineRule="auto"/>
    </w:pPr>
    <w:rPr>
      <w:rFonts w:ascii="Calibri Light" w:hAnsi="Calibri Light"/>
    </w:rPr>
  </w:style>
  <w:style w:type="character" w:customStyle="1" w:styleId="FooterChar">
    <w:name w:val="Footer Char"/>
    <w:basedOn w:val="DefaultParagraphFont"/>
    <w:link w:val="Footer"/>
    <w:uiPriority w:val="99"/>
    <w:rsid w:val="002338A3"/>
    <w:rPr>
      <w:rFonts w:ascii="Calibri Light" w:hAnsi="Calibri Light"/>
      <w:sz w:val="22"/>
    </w:rPr>
  </w:style>
  <w:style w:type="paragraph" w:styleId="List">
    <w:name w:val="List"/>
    <w:basedOn w:val="Normal"/>
    <w:uiPriority w:val="99"/>
    <w:unhideWhenUsed/>
    <w:rsid w:val="002C0782"/>
    <w:pPr>
      <w:ind w:left="360" w:hanging="360"/>
      <w:contextualSpacing/>
    </w:pPr>
  </w:style>
  <w:style w:type="paragraph" w:styleId="List2">
    <w:name w:val="List 2"/>
    <w:basedOn w:val="Normal"/>
    <w:uiPriority w:val="99"/>
    <w:unhideWhenUsed/>
    <w:rsid w:val="002C0782"/>
    <w:pPr>
      <w:ind w:left="720" w:hanging="360"/>
      <w:contextualSpacing/>
    </w:pPr>
  </w:style>
  <w:style w:type="paragraph" w:styleId="ListBullet">
    <w:name w:val="List Bullet"/>
    <w:basedOn w:val="Normal"/>
    <w:uiPriority w:val="99"/>
    <w:unhideWhenUsed/>
    <w:rsid w:val="00592A3B"/>
    <w:pPr>
      <w:numPr>
        <w:numId w:val="1"/>
      </w:numPr>
      <w:spacing w:after="0"/>
      <w:contextualSpacing/>
    </w:pPr>
  </w:style>
  <w:style w:type="paragraph" w:styleId="ListBullet2">
    <w:name w:val="List Bullet 2"/>
    <w:basedOn w:val="Normal"/>
    <w:uiPriority w:val="99"/>
    <w:unhideWhenUsed/>
    <w:rsid w:val="002C0782"/>
    <w:pPr>
      <w:numPr>
        <w:numId w:val="2"/>
      </w:numPr>
      <w:contextualSpacing/>
    </w:pPr>
  </w:style>
  <w:style w:type="paragraph" w:styleId="ListBullet3">
    <w:name w:val="List Bullet 3"/>
    <w:basedOn w:val="Normal"/>
    <w:uiPriority w:val="99"/>
    <w:unhideWhenUsed/>
    <w:rsid w:val="002C0782"/>
    <w:pPr>
      <w:numPr>
        <w:numId w:val="3"/>
      </w:numPr>
      <w:contextualSpacing/>
    </w:pPr>
  </w:style>
  <w:style w:type="paragraph" w:styleId="ListBullet4">
    <w:name w:val="List Bullet 4"/>
    <w:basedOn w:val="Normal"/>
    <w:uiPriority w:val="99"/>
    <w:unhideWhenUsed/>
    <w:rsid w:val="002C0782"/>
    <w:pPr>
      <w:numPr>
        <w:numId w:val="4"/>
      </w:numPr>
      <w:contextualSpacing/>
    </w:pPr>
  </w:style>
  <w:style w:type="table" w:customStyle="1" w:styleId="Calendar4">
    <w:name w:val="Calendar 4"/>
    <w:basedOn w:val="TableNormal"/>
    <w:uiPriority w:val="99"/>
    <w:qFormat/>
    <w:rsid w:val="00403B3C"/>
    <w:pPr>
      <w:snapToGrid w:val="0"/>
    </w:pPr>
    <w:rPr>
      <w:rFonts w:eastAsiaTheme="minorEastAsia"/>
      <w:b/>
      <w:bCs/>
      <w:color w:val="FFFFFF" w:themeColor="background1"/>
      <w:sz w:val="16"/>
      <w:szCs w:val="16"/>
    </w:rPr>
    <w:tblPr>
      <w:tblStyleRowBandSize w:val="1"/>
      <w:tblBorders>
        <w:top w:val="single" w:sz="4" w:space="0" w:color="007FAA" w:themeColor="accent2"/>
        <w:left w:val="single" w:sz="4" w:space="0" w:color="007FAA" w:themeColor="accent2"/>
        <w:bottom w:val="single" w:sz="4" w:space="0" w:color="007FAA" w:themeColor="accent2"/>
        <w:right w:val="single" w:sz="4" w:space="0" w:color="007FAA" w:themeColor="accent2"/>
      </w:tblBorders>
    </w:tblPr>
    <w:tcPr>
      <w:shd w:val="clear" w:color="auto" w:fill="020E20" w:themeFill="accent1" w:themeFillShade="80"/>
    </w:tcPr>
    <w:tblStylePr w:type="firstRow">
      <w:rPr>
        <w:sz w:val="8"/>
      </w:rPr>
    </w:tblStylePr>
    <w:tblStylePr w:type="firstCol">
      <w:pPr>
        <w:wordWrap/>
        <w:ind w:right="144"/>
        <w:jc w:val="right"/>
      </w:pPr>
      <w:rPr>
        <w:rFonts w:asciiTheme="minorHAnsi" w:hAnsiTheme="minorHAns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paragraph" w:styleId="List3">
    <w:name w:val="List 3"/>
    <w:basedOn w:val="Normal"/>
    <w:uiPriority w:val="99"/>
    <w:unhideWhenUsed/>
    <w:rsid w:val="002C0782"/>
    <w:pPr>
      <w:ind w:left="1080" w:hanging="360"/>
      <w:contextualSpacing/>
    </w:pPr>
  </w:style>
  <w:style w:type="paragraph" w:styleId="List4">
    <w:name w:val="List 4"/>
    <w:basedOn w:val="Normal"/>
    <w:uiPriority w:val="99"/>
    <w:unhideWhenUsed/>
    <w:rsid w:val="002C0782"/>
    <w:pPr>
      <w:ind w:left="1440" w:hanging="360"/>
      <w:contextualSpacing/>
    </w:pPr>
  </w:style>
  <w:style w:type="paragraph" w:customStyle="1" w:styleId="DecimalAligned">
    <w:name w:val="Decimal Aligned"/>
    <w:basedOn w:val="Normal"/>
    <w:uiPriority w:val="40"/>
    <w:qFormat/>
    <w:rsid w:val="00403B3C"/>
    <w:pPr>
      <w:tabs>
        <w:tab w:val="decimal" w:pos="360"/>
      </w:tabs>
      <w:spacing w:after="200" w:line="276" w:lineRule="auto"/>
    </w:pPr>
    <w:rPr>
      <w:rFonts w:eastAsiaTheme="minorEastAsia" w:cs="Times New Roman"/>
      <w:szCs w:val="22"/>
    </w:rPr>
  </w:style>
  <w:style w:type="paragraph" w:styleId="Date">
    <w:name w:val="Date"/>
    <w:basedOn w:val="Normal"/>
    <w:next w:val="Normal"/>
    <w:link w:val="DateChar"/>
    <w:uiPriority w:val="99"/>
    <w:unhideWhenUsed/>
    <w:rsid w:val="002C0782"/>
    <w:pPr>
      <w:ind w:left="1080"/>
    </w:pPr>
    <w:rPr>
      <w:sz w:val="24"/>
    </w:rPr>
  </w:style>
  <w:style w:type="character" w:customStyle="1" w:styleId="DateChar">
    <w:name w:val="Date Char"/>
    <w:basedOn w:val="DefaultParagraphFont"/>
    <w:link w:val="Date"/>
    <w:uiPriority w:val="99"/>
    <w:rsid w:val="002C0782"/>
  </w:style>
  <w:style w:type="paragraph" w:customStyle="1" w:styleId="Author">
    <w:name w:val="Author"/>
    <w:next w:val="Normal"/>
    <w:rsid w:val="00191E3C"/>
    <w:pPr>
      <w:spacing w:after="120"/>
      <w:ind w:left="2520"/>
    </w:pPr>
    <w:rPr>
      <w:rFonts w:eastAsia="Times New Roman" w:cs="Times New Roman"/>
      <w:sz w:val="22"/>
      <w:szCs w:val="20"/>
    </w:rPr>
  </w:style>
  <w:style w:type="numbering" w:customStyle="1" w:styleId="ListLink">
    <w:name w:val="List Link"/>
    <w:basedOn w:val="NoList"/>
    <w:rsid w:val="00403B3C"/>
    <w:pPr>
      <w:numPr>
        <w:numId w:val="9"/>
      </w:numPr>
    </w:pPr>
  </w:style>
  <w:style w:type="numbering" w:customStyle="1" w:styleId="StyleListLinkOutlinenumberedSymbolsymbol13pt">
    <w:name w:val="Style List Link + Outline numbered Symbol (symbol) 13 pt"/>
    <w:basedOn w:val="NoList"/>
    <w:rsid w:val="00403B3C"/>
    <w:pPr>
      <w:numPr>
        <w:numId w:val="10"/>
      </w:numPr>
    </w:pPr>
  </w:style>
  <w:style w:type="character" w:styleId="SubtleEmphasis">
    <w:name w:val="Subtle Emphasis"/>
    <w:basedOn w:val="DefaultParagraphFont"/>
    <w:uiPriority w:val="19"/>
    <w:qFormat/>
    <w:rsid w:val="00403B3C"/>
    <w:rPr>
      <w:i/>
      <w:iCs/>
    </w:rPr>
  </w:style>
  <w:style w:type="table" w:styleId="MediumShading2-Accent5">
    <w:name w:val="Medium Shading 2 Accent 5"/>
    <w:basedOn w:val="TableNormal"/>
    <w:uiPriority w:val="64"/>
    <w:rsid w:val="00403B3C"/>
    <w:rPr>
      <w:rFonts w:eastAsiaTheme="minorEastAs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BD15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BD15E" w:themeFill="accent5"/>
      </w:tcPr>
    </w:tblStylePr>
    <w:tblStylePr w:type="lastCol">
      <w:rPr>
        <w:b/>
        <w:bCs/>
        <w:color w:val="FFFFFF" w:themeColor="background1"/>
      </w:rPr>
      <w:tblPr/>
      <w:tcPr>
        <w:tcBorders>
          <w:left w:val="nil"/>
          <w:right w:val="nil"/>
          <w:insideH w:val="nil"/>
          <w:insideV w:val="nil"/>
        </w:tcBorders>
        <w:shd w:val="clear" w:color="auto" w:fill="FBD15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2">
    <w:name w:val="Style2"/>
    <w:uiPriority w:val="99"/>
    <w:rsid w:val="006041C3"/>
    <w:pPr>
      <w:numPr>
        <w:numId w:val="11"/>
      </w:numPr>
    </w:pPr>
  </w:style>
  <w:style w:type="character" w:styleId="PlaceholderText">
    <w:name w:val="Placeholder Text"/>
    <w:basedOn w:val="DefaultParagraphFont"/>
    <w:uiPriority w:val="99"/>
    <w:semiHidden/>
    <w:rsid w:val="000734A1"/>
    <w:rPr>
      <w:color w:val="808080"/>
    </w:rPr>
  </w:style>
  <w:style w:type="table" w:styleId="GridTable1Light-Accent5">
    <w:name w:val="Grid Table 1 Light Accent 5"/>
    <w:basedOn w:val="TableNormal"/>
    <w:uiPriority w:val="46"/>
    <w:rsid w:val="00B27E10"/>
    <w:tblPr>
      <w:tblStyleRowBandSize w:val="1"/>
      <w:tblStyleColBandSize w:val="1"/>
      <w:tblBorders>
        <w:top w:val="single" w:sz="4" w:space="0" w:color="FDECBE" w:themeColor="accent5" w:themeTint="66"/>
        <w:left w:val="single" w:sz="4" w:space="0" w:color="FDECBE" w:themeColor="accent5" w:themeTint="66"/>
        <w:bottom w:val="single" w:sz="4" w:space="0" w:color="FDECBE" w:themeColor="accent5" w:themeTint="66"/>
        <w:right w:val="single" w:sz="4" w:space="0" w:color="FDECBE" w:themeColor="accent5" w:themeTint="66"/>
        <w:insideH w:val="single" w:sz="4" w:space="0" w:color="FDECBE" w:themeColor="accent5" w:themeTint="66"/>
        <w:insideV w:val="single" w:sz="4" w:space="0" w:color="FDECBE" w:themeColor="accent5" w:themeTint="66"/>
      </w:tblBorders>
    </w:tblPr>
    <w:tblStylePr w:type="firstRow">
      <w:rPr>
        <w:b/>
        <w:bCs/>
      </w:rPr>
      <w:tblPr/>
      <w:tcPr>
        <w:tcBorders>
          <w:bottom w:val="single" w:sz="12" w:space="0" w:color="FCE39E" w:themeColor="accent5" w:themeTint="99"/>
        </w:tcBorders>
      </w:tcPr>
    </w:tblStylePr>
    <w:tblStylePr w:type="lastRow">
      <w:rPr>
        <w:b/>
        <w:bCs/>
      </w:rPr>
      <w:tblPr/>
      <w:tcPr>
        <w:tcBorders>
          <w:top w:val="double" w:sz="2" w:space="0" w:color="FCE39E" w:themeColor="accent5" w:themeTint="99"/>
        </w:tcBorders>
      </w:tcPr>
    </w:tblStylePr>
    <w:tblStylePr w:type="firstCol">
      <w:rPr>
        <w:b/>
        <w:bCs/>
      </w:rPr>
    </w:tblStylePr>
    <w:tblStylePr w:type="lastCol">
      <w:rPr>
        <w:b/>
        <w:bCs/>
      </w:rPr>
    </w:tblStylePr>
  </w:style>
  <w:style w:type="paragraph" w:customStyle="1" w:styleId="Cover-Subtitle">
    <w:name w:val="Cover - Subtitle"/>
    <w:qFormat/>
    <w:rsid w:val="00191E3C"/>
    <w:pPr>
      <w:spacing w:before="120" w:after="120" w:line="228" w:lineRule="auto"/>
      <w:ind w:left="2160"/>
    </w:pPr>
    <w:rPr>
      <w:rFonts w:ascii="Calibri" w:hAnsi="Calibri"/>
      <w:b/>
      <w:color w:val="007FAA" w:themeColor="accent2"/>
      <w:sz w:val="36"/>
      <w:szCs w:val="36"/>
    </w:rPr>
  </w:style>
  <w:style w:type="character" w:styleId="PageNumber">
    <w:name w:val="page number"/>
    <w:basedOn w:val="DefaultParagraphFont"/>
    <w:uiPriority w:val="99"/>
    <w:semiHidden/>
    <w:unhideWhenUsed/>
    <w:rsid w:val="002338A3"/>
    <w:rPr>
      <w:rFonts w:asciiTheme="minorHAnsi" w:hAnsiTheme="minorHAnsi"/>
      <w:b/>
    </w:rPr>
  </w:style>
  <w:style w:type="character" w:customStyle="1" w:styleId="UnresolvedMention1">
    <w:name w:val="Unresolved Mention1"/>
    <w:basedOn w:val="DefaultParagraphFont"/>
    <w:uiPriority w:val="99"/>
    <w:semiHidden/>
    <w:unhideWhenUsed/>
    <w:rsid w:val="005C2ADD"/>
    <w:rPr>
      <w:color w:val="605E5C"/>
      <w:shd w:val="clear" w:color="auto" w:fill="E1DFDD"/>
    </w:rPr>
  </w:style>
  <w:style w:type="paragraph" w:styleId="BalloonText">
    <w:name w:val="Balloon Text"/>
    <w:basedOn w:val="Normal"/>
    <w:link w:val="BalloonTextChar"/>
    <w:uiPriority w:val="99"/>
    <w:semiHidden/>
    <w:unhideWhenUsed/>
    <w:rsid w:val="007C35C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C35CA"/>
    <w:rPr>
      <w:rFonts w:ascii="Times New Roman" w:hAnsi="Times New Roman" w:cs="Times New Roman"/>
      <w:sz w:val="18"/>
      <w:szCs w:val="18"/>
    </w:rPr>
  </w:style>
  <w:style w:type="paragraph" w:styleId="NormalWeb">
    <w:name w:val="Normal (Web)"/>
    <w:basedOn w:val="Normal"/>
    <w:uiPriority w:val="99"/>
    <w:unhideWhenUsed/>
    <w:rsid w:val="00944D8D"/>
    <w:pPr>
      <w:spacing w:before="100" w:beforeAutospacing="1" w:after="100" w:afterAutospacing="1" w:line="240" w:lineRule="auto"/>
    </w:pPr>
    <w:rPr>
      <w:rFonts w:ascii="Times New Roman" w:eastAsia="Times New Roman" w:hAnsi="Times New Roman" w:cs="Times New Roman"/>
      <w:sz w:val="24"/>
    </w:rPr>
  </w:style>
  <w:style w:type="character" w:styleId="CommentReference">
    <w:name w:val="annotation reference"/>
    <w:basedOn w:val="DefaultParagraphFont"/>
    <w:uiPriority w:val="99"/>
    <w:semiHidden/>
    <w:unhideWhenUsed/>
    <w:rsid w:val="00326D28"/>
    <w:rPr>
      <w:sz w:val="16"/>
      <w:szCs w:val="16"/>
    </w:rPr>
  </w:style>
  <w:style w:type="paragraph" w:styleId="CommentText">
    <w:name w:val="annotation text"/>
    <w:basedOn w:val="Normal"/>
    <w:link w:val="CommentTextChar"/>
    <w:uiPriority w:val="99"/>
    <w:unhideWhenUsed/>
    <w:rsid w:val="00326D28"/>
    <w:pPr>
      <w:spacing w:line="240" w:lineRule="auto"/>
    </w:pPr>
    <w:rPr>
      <w:sz w:val="20"/>
      <w:szCs w:val="20"/>
    </w:rPr>
  </w:style>
  <w:style w:type="character" w:customStyle="1" w:styleId="CommentTextChar">
    <w:name w:val="Comment Text Char"/>
    <w:basedOn w:val="DefaultParagraphFont"/>
    <w:link w:val="CommentText"/>
    <w:uiPriority w:val="99"/>
    <w:rsid w:val="00326D28"/>
    <w:rPr>
      <w:sz w:val="20"/>
      <w:szCs w:val="20"/>
    </w:rPr>
  </w:style>
  <w:style w:type="paragraph" w:styleId="CommentSubject">
    <w:name w:val="annotation subject"/>
    <w:basedOn w:val="CommentText"/>
    <w:next w:val="CommentText"/>
    <w:link w:val="CommentSubjectChar"/>
    <w:uiPriority w:val="99"/>
    <w:semiHidden/>
    <w:unhideWhenUsed/>
    <w:rsid w:val="00326D28"/>
    <w:rPr>
      <w:b/>
      <w:bCs/>
    </w:rPr>
  </w:style>
  <w:style w:type="character" w:customStyle="1" w:styleId="CommentSubjectChar">
    <w:name w:val="Comment Subject Char"/>
    <w:basedOn w:val="CommentTextChar"/>
    <w:link w:val="CommentSubject"/>
    <w:uiPriority w:val="99"/>
    <w:semiHidden/>
    <w:rsid w:val="00326D28"/>
    <w:rPr>
      <w:b/>
      <w:bCs/>
      <w:sz w:val="20"/>
      <w:szCs w:val="20"/>
    </w:rPr>
  </w:style>
  <w:style w:type="paragraph" w:styleId="Revision">
    <w:name w:val="Revision"/>
    <w:hidden/>
    <w:uiPriority w:val="99"/>
    <w:semiHidden/>
    <w:rsid w:val="00191E3C"/>
    <w:rPr>
      <w:sz w:val="22"/>
    </w:rPr>
  </w:style>
  <w:style w:type="paragraph" w:customStyle="1" w:styleId="Spacer">
    <w:name w:val="Spacer"/>
    <w:qFormat/>
    <w:rsid w:val="00474C15"/>
    <w:pPr>
      <w:spacing w:line="252" w:lineRule="auto"/>
    </w:pPr>
    <w:rPr>
      <w:rFonts w:asciiTheme="majorHAnsi" w:hAnsiTheme="majorHAnsi" w:cstheme="majorHAnsi"/>
    </w:rPr>
  </w:style>
  <w:style w:type="paragraph" w:customStyle="1" w:styleId="Cover">
    <w:name w:val="Cover"/>
    <w:qFormat/>
    <w:rsid w:val="00474C15"/>
    <w:rPr>
      <w:noProof/>
      <w:sz w:val="22"/>
    </w:rPr>
  </w:style>
  <w:style w:type="paragraph" w:customStyle="1" w:styleId="HeadingSpacer">
    <w:name w:val="Heading Spacer"/>
    <w:basedOn w:val="Normal"/>
    <w:next w:val="Normal"/>
    <w:qFormat/>
    <w:rsid w:val="007B4264"/>
    <w:pPr>
      <w:spacing w:after="0"/>
    </w:pPr>
  </w:style>
  <w:style w:type="paragraph" w:styleId="NoSpacing">
    <w:name w:val="No Spacing"/>
    <w:link w:val="NoSpacingChar"/>
    <w:uiPriority w:val="1"/>
    <w:qFormat/>
    <w:rsid w:val="00E801D6"/>
    <w:rPr>
      <w:rFonts w:eastAsiaTheme="minorEastAsia"/>
      <w:sz w:val="22"/>
      <w:szCs w:val="22"/>
      <w:lang w:eastAsia="zh-CN"/>
    </w:rPr>
  </w:style>
  <w:style w:type="character" w:customStyle="1" w:styleId="NoSpacingChar">
    <w:name w:val="No Spacing Char"/>
    <w:basedOn w:val="DefaultParagraphFont"/>
    <w:link w:val="NoSpacing"/>
    <w:uiPriority w:val="1"/>
    <w:rsid w:val="00E801D6"/>
    <w:rPr>
      <w:rFonts w:eastAsiaTheme="minorEastAsia"/>
      <w:sz w:val="22"/>
      <w:szCs w:val="22"/>
      <w:lang w:eastAsia="zh-CN"/>
    </w:rPr>
  </w:style>
  <w:style w:type="paragraph" w:customStyle="1" w:styleId="ParagraphbeforeNumberedList">
    <w:name w:val="Paragraph before Numbered List"/>
    <w:basedOn w:val="Normal"/>
    <w:uiPriority w:val="1"/>
    <w:qFormat/>
    <w:rsid w:val="00536D6F"/>
    <w:pPr>
      <w:numPr>
        <w:numId w:val="12"/>
      </w:numPr>
      <w:spacing w:after="120"/>
    </w:pPr>
  </w:style>
  <w:style w:type="paragraph" w:styleId="ListNumber2">
    <w:name w:val="List Number 2"/>
    <w:basedOn w:val="BodyText"/>
    <w:uiPriority w:val="99"/>
    <w:unhideWhenUsed/>
    <w:rsid w:val="00AC76D4"/>
    <w:pPr>
      <w:numPr>
        <w:ilvl w:val="2"/>
        <w:numId w:val="12"/>
      </w:numPr>
      <w:contextualSpacing/>
    </w:pPr>
  </w:style>
  <w:style w:type="paragraph" w:styleId="ListNumber3">
    <w:name w:val="List Number 3"/>
    <w:basedOn w:val="BodyText"/>
    <w:uiPriority w:val="99"/>
    <w:unhideWhenUsed/>
    <w:rsid w:val="00AC76D4"/>
    <w:pPr>
      <w:numPr>
        <w:ilvl w:val="3"/>
        <w:numId w:val="12"/>
      </w:numPr>
      <w:contextualSpacing/>
    </w:pPr>
  </w:style>
  <w:style w:type="paragraph" w:styleId="ListNumber4">
    <w:name w:val="List Number 4"/>
    <w:basedOn w:val="BodyText"/>
    <w:uiPriority w:val="99"/>
    <w:unhideWhenUsed/>
    <w:rsid w:val="00AC76D4"/>
    <w:pPr>
      <w:numPr>
        <w:ilvl w:val="4"/>
        <w:numId w:val="12"/>
      </w:numPr>
      <w:contextualSpacing/>
    </w:pPr>
  </w:style>
  <w:style w:type="paragraph" w:styleId="ListNumber5">
    <w:name w:val="List Number 5"/>
    <w:basedOn w:val="BodyText"/>
    <w:uiPriority w:val="99"/>
    <w:unhideWhenUsed/>
    <w:rsid w:val="00AC76D4"/>
    <w:pPr>
      <w:numPr>
        <w:ilvl w:val="5"/>
        <w:numId w:val="12"/>
      </w:numPr>
      <w:contextualSpacing/>
    </w:pPr>
  </w:style>
  <w:style w:type="table" w:styleId="TableGrid">
    <w:name w:val="Table Grid"/>
    <w:basedOn w:val="TableNormal"/>
    <w:uiPriority w:val="39"/>
    <w:rsid w:val="00D11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5">
    <w:name w:val="Grid Table 6 Colorful Accent 5"/>
    <w:basedOn w:val="TableNormal"/>
    <w:uiPriority w:val="51"/>
    <w:rsid w:val="00B27E10"/>
    <w:rPr>
      <w:color w:val="F8B809" w:themeColor="accent5" w:themeShade="BF"/>
    </w:rPr>
    <w:tblPr>
      <w:tblStyleRowBandSize w:val="1"/>
      <w:tblStyleColBandSize w:val="1"/>
      <w:tblBorders>
        <w:top w:val="single" w:sz="4" w:space="0" w:color="FCE39E" w:themeColor="accent5" w:themeTint="99"/>
        <w:left w:val="single" w:sz="4" w:space="0" w:color="FCE39E" w:themeColor="accent5" w:themeTint="99"/>
        <w:bottom w:val="single" w:sz="4" w:space="0" w:color="FCE39E" w:themeColor="accent5" w:themeTint="99"/>
        <w:right w:val="single" w:sz="4" w:space="0" w:color="FCE39E" w:themeColor="accent5" w:themeTint="99"/>
        <w:insideH w:val="single" w:sz="4" w:space="0" w:color="FCE39E" w:themeColor="accent5" w:themeTint="99"/>
        <w:insideV w:val="single" w:sz="4" w:space="0" w:color="FCE39E" w:themeColor="accent5" w:themeTint="99"/>
      </w:tblBorders>
    </w:tblPr>
    <w:tblStylePr w:type="firstRow">
      <w:rPr>
        <w:b/>
        <w:bCs/>
      </w:rPr>
      <w:tblPr/>
      <w:tcPr>
        <w:tcBorders>
          <w:bottom w:val="single" w:sz="12" w:space="0" w:color="FCE39E" w:themeColor="accent5" w:themeTint="99"/>
        </w:tcBorders>
      </w:tcPr>
    </w:tblStylePr>
    <w:tblStylePr w:type="lastRow">
      <w:rPr>
        <w:b/>
        <w:bCs/>
      </w:rPr>
      <w:tblPr/>
      <w:tcPr>
        <w:tcBorders>
          <w:top w:val="double" w:sz="4" w:space="0" w:color="FCE39E" w:themeColor="accent5" w:themeTint="99"/>
        </w:tcBorders>
      </w:tcPr>
    </w:tblStylePr>
    <w:tblStylePr w:type="firstCol">
      <w:rPr>
        <w:b/>
        <w:bCs/>
      </w:rPr>
    </w:tblStylePr>
    <w:tblStylePr w:type="lastCol">
      <w:rPr>
        <w:b/>
        <w:bCs/>
      </w:rPr>
    </w:tblStylePr>
    <w:tblStylePr w:type="band1Vert">
      <w:tblPr/>
      <w:tcPr>
        <w:shd w:val="clear" w:color="auto" w:fill="FEF5DE" w:themeFill="accent5" w:themeFillTint="33"/>
      </w:tcPr>
    </w:tblStylePr>
    <w:tblStylePr w:type="band1Horz">
      <w:tblPr/>
      <w:tcPr>
        <w:shd w:val="clear" w:color="auto" w:fill="FEF5DE" w:themeFill="accent5" w:themeFillTint="33"/>
      </w:tcPr>
    </w:tblStylePr>
  </w:style>
  <w:style w:type="table" w:styleId="GridTable7Colorful-Accent3">
    <w:name w:val="Grid Table 7 Colorful Accent 3"/>
    <w:basedOn w:val="TableNormal"/>
    <w:uiPriority w:val="52"/>
    <w:rsid w:val="000E3440"/>
    <w:rPr>
      <w:color w:val="197D9B" w:themeColor="accent3" w:themeShade="BF"/>
    </w:rPr>
    <w:tblPr>
      <w:tblStyleRowBandSize w:val="1"/>
      <w:tblStyleColBandSize w:val="1"/>
      <w:tblBorders>
        <w:top w:val="single" w:sz="4" w:space="0" w:color="74CEE8" w:themeColor="accent3" w:themeTint="99"/>
        <w:left w:val="single" w:sz="4" w:space="0" w:color="74CEE8" w:themeColor="accent3" w:themeTint="99"/>
        <w:bottom w:val="single" w:sz="4" w:space="0" w:color="74CEE8" w:themeColor="accent3" w:themeTint="99"/>
        <w:right w:val="single" w:sz="4" w:space="0" w:color="74CEE8" w:themeColor="accent3" w:themeTint="99"/>
        <w:insideH w:val="single" w:sz="4" w:space="0" w:color="74CEE8" w:themeColor="accent3" w:themeTint="99"/>
        <w:insideV w:val="single" w:sz="4" w:space="0" w:color="74CEE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EF7" w:themeFill="accent3" w:themeFillTint="33"/>
      </w:tcPr>
    </w:tblStylePr>
    <w:tblStylePr w:type="band1Horz">
      <w:tblPr/>
      <w:tcPr>
        <w:shd w:val="clear" w:color="auto" w:fill="D0EEF7" w:themeFill="accent3" w:themeFillTint="33"/>
      </w:tcPr>
    </w:tblStylePr>
    <w:tblStylePr w:type="neCell">
      <w:tblPr/>
      <w:tcPr>
        <w:tcBorders>
          <w:bottom w:val="single" w:sz="4" w:space="0" w:color="74CEE8" w:themeColor="accent3" w:themeTint="99"/>
        </w:tcBorders>
      </w:tcPr>
    </w:tblStylePr>
    <w:tblStylePr w:type="nwCell">
      <w:tblPr/>
      <w:tcPr>
        <w:tcBorders>
          <w:bottom w:val="single" w:sz="4" w:space="0" w:color="74CEE8" w:themeColor="accent3" w:themeTint="99"/>
        </w:tcBorders>
      </w:tcPr>
    </w:tblStylePr>
    <w:tblStylePr w:type="seCell">
      <w:tblPr/>
      <w:tcPr>
        <w:tcBorders>
          <w:top w:val="single" w:sz="4" w:space="0" w:color="74CEE8" w:themeColor="accent3" w:themeTint="99"/>
        </w:tcBorders>
      </w:tcPr>
    </w:tblStylePr>
    <w:tblStylePr w:type="swCell">
      <w:tblPr/>
      <w:tcPr>
        <w:tcBorders>
          <w:top w:val="single" w:sz="4" w:space="0" w:color="74CEE8" w:themeColor="accent3" w:themeTint="99"/>
        </w:tcBorders>
      </w:tcPr>
    </w:tblStylePr>
  </w:style>
  <w:style w:type="table" w:styleId="ListTable1Light-Accent2">
    <w:name w:val="List Table 1 Light Accent 2"/>
    <w:basedOn w:val="TableNormal"/>
    <w:uiPriority w:val="46"/>
    <w:rsid w:val="000E3440"/>
    <w:tblPr>
      <w:tblStyleRowBandSize w:val="1"/>
      <w:tblStyleColBandSize w:val="1"/>
    </w:tblPr>
    <w:tblStylePr w:type="firstRow">
      <w:rPr>
        <w:b/>
        <w:bCs/>
      </w:rPr>
      <w:tblPr/>
      <w:tcPr>
        <w:tcBorders>
          <w:bottom w:val="single" w:sz="4" w:space="0" w:color="33CBFF" w:themeColor="accent2" w:themeTint="99"/>
        </w:tcBorders>
      </w:tcPr>
    </w:tblStylePr>
    <w:tblStylePr w:type="lastRow">
      <w:rPr>
        <w:b/>
        <w:bCs/>
      </w:rPr>
      <w:tblPr/>
      <w:tcPr>
        <w:tcBorders>
          <w:top w:val="single" w:sz="4" w:space="0" w:color="33CBFF" w:themeColor="accent2" w:themeTint="99"/>
        </w:tcBorders>
      </w:tcPr>
    </w:tblStylePr>
    <w:tblStylePr w:type="firstCol">
      <w:rPr>
        <w:b/>
        <w:bCs/>
      </w:rPr>
    </w:tblStylePr>
    <w:tblStylePr w:type="lastCol">
      <w:rPr>
        <w:b/>
        <w:bCs/>
      </w:rPr>
    </w:tblStylePr>
    <w:tblStylePr w:type="band1Vert">
      <w:tblPr/>
      <w:tcPr>
        <w:shd w:val="clear" w:color="auto" w:fill="BBEDFF" w:themeFill="accent2" w:themeFillTint="33"/>
      </w:tcPr>
    </w:tblStylePr>
    <w:tblStylePr w:type="band1Horz">
      <w:tblPr/>
      <w:tcPr>
        <w:shd w:val="clear" w:color="auto" w:fill="BBEDFF" w:themeFill="accent2" w:themeFillTint="33"/>
      </w:tcPr>
    </w:tblStylePr>
  </w:style>
  <w:style w:type="paragraph" w:customStyle="1" w:styleId="HeadingbeforeNumberedList">
    <w:name w:val="Heading before Numbered List"/>
    <w:basedOn w:val="ParagraphbeforeNumberedList"/>
    <w:next w:val="ParagraphbeforeNumberedList"/>
    <w:qFormat/>
    <w:rsid w:val="00034BFB"/>
    <w:rPr>
      <w:b/>
      <w:bCs/>
    </w:rPr>
  </w:style>
  <w:style w:type="table" w:styleId="PlainTable1">
    <w:name w:val="Plain Table 1"/>
    <w:basedOn w:val="TableNormal"/>
    <w:uiPriority w:val="41"/>
    <w:rsid w:val="00D804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Text">
    <w:name w:val="Table Text"/>
    <w:basedOn w:val="Normal"/>
    <w:qFormat/>
    <w:rsid w:val="00D804AF"/>
    <w:pPr>
      <w:spacing w:after="0" w:line="240" w:lineRule="auto"/>
    </w:pPr>
    <w:rPr>
      <w:bCs/>
      <w:color w:val="000000" w:themeColor="text1"/>
    </w:rPr>
  </w:style>
  <w:style w:type="paragraph" w:customStyle="1" w:styleId="AppendixSpacer">
    <w:name w:val="Appendix Spacer"/>
    <w:basedOn w:val="Normal"/>
    <w:qFormat/>
    <w:rsid w:val="00582EF0"/>
    <w:pPr>
      <w:spacing w:after="2200" w:line="480" w:lineRule="auto"/>
    </w:pPr>
  </w:style>
  <w:style w:type="table" w:customStyle="1" w:styleId="TACTable">
    <w:name w:val="TAC Table"/>
    <w:basedOn w:val="TableNormal"/>
    <w:rsid w:val="00F47F50"/>
    <w:pPr>
      <w:widowControl w:val="0"/>
    </w:pPr>
    <w:rPr>
      <w:rFonts w:ascii="Calibri" w:eastAsia="Calibri" w:hAnsi="Calibri" w:cs="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15" w:type="dxa"/>
        <w:right w:w="115" w:type="dxa"/>
      </w:tblCellMar>
    </w:tblPr>
    <w:tcPr>
      <w:shd w:val="clear" w:color="auto" w:fill="D0EEF7" w:themeFill="accent3" w:themeFillTint="33"/>
    </w:tcPr>
    <w:tblStylePr w:type="firstRow">
      <w:pPr>
        <w:jc w:val="left"/>
      </w:pPr>
      <w:rPr>
        <w:b/>
        <w:color w:val="FFFFFF"/>
      </w:rPr>
      <w:tblPr/>
      <w:tcPr>
        <w:shd w:val="clear" w:color="auto" w:fill="041E41" w:themeFill="text2"/>
        <w:vAlign w:val="bottom"/>
      </w:tcPr>
    </w:tblStylePr>
    <w:tblStylePr w:type="lastRow">
      <w:rPr>
        <w:b w:val="0"/>
        <w:color w:val="000000" w:themeColor="text1"/>
      </w:rPr>
    </w:tblStylePr>
    <w:tblStylePr w:type="firstCol">
      <w:rPr>
        <w:rFonts w:asciiTheme="minorHAnsi" w:hAnsiTheme="minorHAnsi"/>
        <w:b w:val="0"/>
        <w:color w:val="000000" w:themeColor="text1"/>
      </w:rPr>
    </w:tblStylePr>
    <w:tblStylePr w:type="lastCol">
      <w:rPr>
        <w:b w:val="0"/>
        <w:color w:val="000000" w:themeColor="text1"/>
      </w:rPr>
    </w:tblStylePr>
    <w:tblStylePr w:type="band1Horz">
      <w:pPr>
        <w:jc w:val="left"/>
      </w:pPr>
      <w:tblPr/>
      <w:tcPr>
        <w:vAlign w:val="center"/>
      </w:tcPr>
    </w:tblStylePr>
    <w:tblStylePr w:type="band2Horz">
      <w:pPr>
        <w:jc w:val="left"/>
      </w:pPr>
      <w:rPr>
        <w:color w:val="000000" w:themeColor="text1"/>
      </w:rPr>
      <w:tblPr/>
      <w:tcPr>
        <w:shd w:val="clear" w:color="auto" w:fill="BEDBEB"/>
        <w:vAlign w:val="center"/>
      </w:tcPr>
    </w:tblStylePr>
  </w:style>
  <w:style w:type="character" w:customStyle="1" w:styleId="UnresolvedMention2">
    <w:name w:val="Unresolved Mention2"/>
    <w:basedOn w:val="DefaultParagraphFont"/>
    <w:uiPriority w:val="99"/>
    <w:semiHidden/>
    <w:unhideWhenUsed/>
    <w:rsid w:val="00F25CF6"/>
    <w:rPr>
      <w:color w:val="605E5C"/>
      <w:shd w:val="clear" w:color="auto" w:fill="E1DFDD"/>
    </w:rPr>
  </w:style>
  <w:style w:type="paragraph" w:styleId="Caption">
    <w:name w:val="caption"/>
    <w:basedOn w:val="Normal"/>
    <w:next w:val="Normal"/>
    <w:uiPriority w:val="35"/>
    <w:unhideWhenUsed/>
    <w:qFormat/>
    <w:rsid w:val="002B1689"/>
    <w:pPr>
      <w:spacing w:after="200" w:line="240" w:lineRule="auto"/>
    </w:pPr>
    <w:rPr>
      <w:i/>
      <w:iCs/>
      <w:color w:val="041E41" w:themeColor="text2"/>
      <w:sz w:val="18"/>
      <w:szCs w:val="18"/>
    </w:rPr>
  </w:style>
  <w:style w:type="table" w:styleId="GridTable4-Accent1">
    <w:name w:val="Grid Table 4 Accent 1"/>
    <w:basedOn w:val="TableNormal"/>
    <w:uiPriority w:val="49"/>
    <w:rsid w:val="00877981"/>
    <w:tblPr>
      <w:tblStyleRowBandSize w:val="1"/>
      <w:tblStyleColBandSize w:val="1"/>
      <w:tblBorders>
        <w:top w:val="single" w:sz="4" w:space="0" w:color="0E6AE7" w:themeColor="accent1" w:themeTint="99"/>
        <w:left w:val="single" w:sz="4" w:space="0" w:color="0E6AE7" w:themeColor="accent1" w:themeTint="99"/>
        <w:bottom w:val="single" w:sz="4" w:space="0" w:color="0E6AE7" w:themeColor="accent1" w:themeTint="99"/>
        <w:right w:val="single" w:sz="4" w:space="0" w:color="0E6AE7" w:themeColor="accent1" w:themeTint="99"/>
        <w:insideH w:val="single" w:sz="4" w:space="0" w:color="0E6AE7" w:themeColor="accent1" w:themeTint="99"/>
        <w:insideV w:val="single" w:sz="4" w:space="0" w:color="0E6AE7" w:themeColor="accent1" w:themeTint="99"/>
      </w:tblBorders>
    </w:tblPr>
    <w:tblStylePr w:type="firstRow">
      <w:rPr>
        <w:b/>
        <w:bCs/>
        <w:color w:val="FFFFFF" w:themeColor="background1"/>
      </w:rPr>
      <w:tblPr/>
      <w:tcPr>
        <w:tcBorders>
          <w:top w:val="single" w:sz="4" w:space="0" w:color="041E41" w:themeColor="accent1"/>
          <w:left w:val="single" w:sz="4" w:space="0" w:color="041E41" w:themeColor="accent1"/>
          <w:bottom w:val="single" w:sz="4" w:space="0" w:color="041E41" w:themeColor="accent1"/>
          <w:right w:val="single" w:sz="4" w:space="0" w:color="041E41" w:themeColor="accent1"/>
          <w:insideH w:val="nil"/>
          <w:insideV w:val="nil"/>
        </w:tcBorders>
        <w:shd w:val="clear" w:color="auto" w:fill="041E41" w:themeFill="accent1"/>
      </w:tcPr>
    </w:tblStylePr>
    <w:tblStylePr w:type="lastRow">
      <w:rPr>
        <w:b/>
        <w:bCs/>
      </w:rPr>
      <w:tblPr/>
      <w:tcPr>
        <w:tcBorders>
          <w:top w:val="double" w:sz="4" w:space="0" w:color="041E41" w:themeColor="accent1"/>
        </w:tcBorders>
      </w:tcPr>
    </w:tblStylePr>
    <w:tblStylePr w:type="firstCol">
      <w:rPr>
        <w:b/>
        <w:bCs/>
      </w:rPr>
    </w:tblStylePr>
    <w:tblStylePr w:type="lastCol">
      <w:rPr>
        <w:b/>
        <w:bCs/>
      </w:rPr>
    </w:tblStylePr>
    <w:tblStylePr w:type="band1Vert">
      <w:tblPr/>
      <w:tcPr>
        <w:shd w:val="clear" w:color="auto" w:fill="ABCCFA" w:themeFill="accent1" w:themeFillTint="33"/>
      </w:tcPr>
    </w:tblStylePr>
    <w:tblStylePr w:type="band1Horz">
      <w:tblPr/>
      <w:tcPr>
        <w:shd w:val="clear" w:color="auto" w:fill="ABCCFA" w:themeFill="accent1" w:themeFillTint="33"/>
      </w:tcPr>
    </w:tblStylePr>
  </w:style>
  <w:style w:type="character" w:customStyle="1" w:styleId="Condensed-02ptChar">
    <w:name w:val="Condensed - 0.2pt Char"/>
    <w:basedOn w:val="DefaultParagraphFont"/>
    <w:link w:val="Condensed-02pt"/>
    <w:locked/>
    <w:rsid w:val="00875112"/>
    <w:rPr>
      <w:rFonts w:ascii="Arial" w:hAnsi="Arial" w:cs="Calibri (Body)"/>
      <w:spacing w:val="-4"/>
    </w:rPr>
  </w:style>
  <w:style w:type="paragraph" w:customStyle="1" w:styleId="Condensed-02pt">
    <w:name w:val="Condensed - 0.2pt"/>
    <w:basedOn w:val="Normal"/>
    <w:link w:val="Condensed-02ptChar"/>
    <w:qFormat/>
    <w:rsid w:val="00875112"/>
    <w:pPr>
      <w:spacing w:after="288" w:line="288" w:lineRule="exact"/>
    </w:pPr>
    <w:rPr>
      <w:rFonts w:ascii="Arial" w:hAnsi="Arial" w:cs="Calibri (Body)"/>
      <w:spacing w:val="-4"/>
      <w:sz w:val="24"/>
    </w:rPr>
  </w:style>
  <w:style w:type="paragraph" w:customStyle="1" w:styleId="GTableText">
    <w:name w:val="_G Table Text"/>
    <w:basedOn w:val="Normal"/>
    <w:rsid w:val="001C0CBE"/>
    <w:pPr>
      <w:spacing w:before="60" w:after="60" w:line="240" w:lineRule="auto"/>
    </w:pPr>
    <w:rPr>
      <w:rFonts w:ascii="Lucida Sans Unicode" w:eastAsia="Times New Roman" w:hAnsi="Lucida Sans Unicode" w:cs="Times New Roman"/>
      <w:color w:val="252525"/>
      <w:sz w:val="21"/>
    </w:rPr>
  </w:style>
  <w:style w:type="paragraph" w:customStyle="1" w:styleId="JIFtitle">
    <w:name w:val="JIF title"/>
    <w:basedOn w:val="Normal"/>
    <w:qFormat/>
    <w:rsid w:val="009453E7"/>
    <w:pPr>
      <w:spacing w:after="80" w:line="240" w:lineRule="auto"/>
    </w:pPr>
    <w:rPr>
      <w:rFonts w:asciiTheme="majorHAnsi" w:eastAsiaTheme="minorEastAsia" w:hAnsiTheme="majorHAnsi" w:cs="Calibri Light"/>
      <w:b/>
      <w:color w:val="4B9CD3"/>
      <w:sz w:val="40"/>
      <w:szCs w:val="36"/>
    </w:rPr>
  </w:style>
  <w:style w:type="character" w:customStyle="1" w:styleId="Heading5Char">
    <w:name w:val="Heading 5 Char"/>
    <w:basedOn w:val="DefaultParagraphFont"/>
    <w:link w:val="Heading5"/>
    <w:uiPriority w:val="9"/>
    <w:rsid w:val="00580763"/>
    <w:rPr>
      <w:rFonts w:asciiTheme="majorHAnsi" w:eastAsiaTheme="majorEastAsia" w:hAnsiTheme="majorHAnsi" w:cstheme="majorBidi"/>
      <w:color w:val="031630" w:themeColor="accent1" w:themeShade="BF"/>
      <w:sz w:val="22"/>
    </w:rPr>
  </w:style>
  <w:style w:type="character" w:customStyle="1" w:styleId="UnresolvedMention3">
    <w:name w:val="Unresolved Mention3"/>
    <w:basedOn w:val="DefaultParagraphFont"/>
    <w:uiPriority w:val="99"/>
    <w:semiHidden/>
    <w:unhideWhenUsed/>
    <w:rsid w:val="00403422"/>
    <w:rPr>
      <w:color w:val="605E5C"/>
      <w:shd w:val="clear" w:color="auto" w:fill="E1DFDD"/>
    </w:rPr>
  </w:style>
  <w:style w:type="character" w:customStyle="1" w:styleId="apple-converted-space">
    <w:name w:val="apple-converted-space"/>
    <w:basedOn w:val="DefaultParagraphFont"/>
    <w:rsid w:val="00AF3B2C"/>
  </w:style>
  <w:style w:type="paragraph" w:customStyle="1" w:styleId="Default">
    <w:name w:val="Default"/>
    <w:rsid w:val="00902337"/>
    <w:pPr>
      <w:autoSpaceDE w:val="0"/>
      <w:autoSpaceDN w:val="0"/>
      <w:adjustRightInd w:val="0"/>
    </w:pPr>
    <w:rPr>
      <w:rFonts w:ascii="Calibri" w:hAnsi="Calibri" w:cs="Calibri"/>
      <w:color w:val="000000"/>
    </w:rPr>
  </w:style>
  <w:style w:type="character" w:customStyle="1" w:styleId="UnresolvedMention4">
    <w:name w:val="Unresolved Mention4"/>
    <w:basedOn w:val="DefaultParagraphFont"/>
    <w:uiPriority w:val="99"/>
    <w:semiHidden/>
    <w:unhideWhenUsed/>
    <w:rsid w:val="00CA64DD"/>
    <w:rPr>
      <w:color w:val="605E5C"/>
      <w:shd w:val="clear" w:color="auto" w:fill="E1DFDD"/>
    </w:rPr>
  </w:style>
  <w:style w:type="character" w:customStyle="1" w:styleId="UnresolvedMention5">
    <w:name w:val="Unresolved Mention5"/>
    <w:basedOn w:val="DefaultParagraphFont"/>
    <w:uiPriority w:val="99"/>
    <w:semiHidden/>
    <w:unhideWhenUsed/>
    <w:rsid w:val="00F0534F"/>
    <w:rPr>
      <w:color w:val="605E5C"/>
      <w:shd w:val="clear" w:color="auto" w:fill="E1DFDD"/>
    </w:rPr>
  </w:style>
  <w:style w:type="character" w:styleId="UnresolvedMention">
    <w:name w:val="Unresolved Mention"/>
    <w:basedOn w:val="DefaultParagraphFont"/>
    <w:uiPriority w:val="99"/>
    <w:semiHidden/>
    <w:unhideWhenUsed/>
    <w:rsid w:val="007757E3"/>
    <w:rPr>
      <w:color w:val="605E5C"/>
      <w:shd w:val="clear" w:color="auto" w:fill="E1DFDD"/>
    </w:rPr>
  </w:style>
  <w:style w:type="character" w:styleId="IntenseReference">
    <w:name w:val="Intense Reference"/>
    <w:basedOn w:val="DefaultParagraphFont"/>
    <w:uiPriority w:val="32"/>
    <w:qFormat/>
    <w:rsid w:val="004449C0"/>
    <w:rPr>
      <w:b/>
      <w:bCs/>
      <w:smallCaps/>
      <w:color w:val="041E41" w:themeColor="accent1"/>
      <w:spacing w:val="5"/>
    </w:rPr>
  </w:style>
  <w:style w:type="character" w:styleId="HTMLCite">
    <w:name w:val="HTML Cite"/>
    <w:basedOn w:val="DefaultParagraphFont"/>
    <w:uiPriority w:val="99"/>
    <w:semiHidden/>
    <w:unhideWhenUsed/>
    <w:rsid w:val="0058776E"/>
    <w:rPr>
      <w:i/>
      <w:iCs/>
    </w:rPr>
  </w:style>
  <w:style w:type="paragraph" w:customStyle="1" w:styleId="TableParagraph">
    <w:name w:val="Table Paragraph"/>
    <w:basedOn w:val="Normal"/>
    <w:uiPriority w:val="1"/>
    <w:qFormat/>
    <w:rsid w:val="00745F4C"/>
    <w:pPr>
      <w:widowControl w:val="0"/>
      <w:autoSpaceDE w:val="0"/>
      <w:autoSpaceDN w:val="0"/>
      <w:spacing w:after="0" w:line="240" w:lineRule="auto"/>
      <w:ind w:left="267"/>
    </w:pPr>
    <w:rPr>
      <w:rFonts w:ascii="Calibri" w:eastAsia="Calibri" w:hAnsi="Calibri" w:cs="Calibri"/>
      <w:szCs w:val="22"/>
    </w:rPr>
  </w:style>
  <w:style w:type="character" w:styleId="Mention">
    <w:name w:val="Mention"/>
    <w:basedOn w:val="DefaultParagraphFont"/>
    <w:uiPriority w:val="99"/>
    <w:unhideWhenUsed/>
    <w:rsid w:val="00381E6E"/>
    <w:rPr>
      <w:color w:val="2B579A"/>
      <w:shd w:val="clear" w:color="auto" w:fill="E6E6E6"/>
    </w:rPr>
  </w:style>
  <w:style w:type="character" w:customStyle="1" w:styleId="ListParagraphChar">
    <w:name w:val="List Paragraph Char"/>
    <w:basedOn w:val="DefaultParagraphFont"/>
    <w:link w:val="ListParagraph"/>
    <w:uiPriority w:val="34"/>
    <w:locked/>
    <w:rsid w:val="00DB56D9"/>
    <w:rPr>
      <w:sz w:val="22"/>
    </w:rPr>
  </w:style>
  <w:style w:type="character" w:customStyle="1" w:styleId="normaltextrun">
    <w:name w:val="normaltextrun"/>
    <w:basedOn w:val="DefaultParagraphFont"/>
    <w:rsid w:val="001E45F9"/>
  </w:style>
  <w:style w:type="character" w:customStyle="1" w:styleId="eop">
    <w:name w:val="eop"/>
    <w:basedOn w:val="DefaultParagraphFont"/>
    <w:rsid w:val="001E45F9"/>
  </w:style>
  <w:style w:type="table" w:customStyle="1" w:styleId="NCOlmsteadTable">
    <w:name w:val="NC Olmstead Table"/>
    <w:basedOn w:val="TableNormal"/>
    <w:rsid w:val="00033790"/>
    <w:pPr>
      <w:widowControl w:val="0"/>
    </w:pPr>
    <w:rPr>
      <w:rFonts w:ascii="Arial" w:eastAsia="Calibri" w:hAnsi="Arial" w:cs="Calibri"/>
      <w:sz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15" w:type="dxa"/>
        <w:bottom w:w="115" w:type="dxa"/>
      </w:tblCellMar>
    </w:tblPr>
    <w:tcPr>
      <w:shd w:val="clear" w:color="auto" w:fill="D0EFF7"/>
    </w:tcPr>
    <w:tblStylePr w:type="firstRow">
      <w:pPr>
        <w:jc w:val="left"/>
      </w:pPr>
      <w:rPr>
        <w:rFonts w:ascii="Arial" w:hAnsi="Arial"/>
        <w:b/>
        <w:color w:val="FFFFFF"/>
        <w:sz w:val="20"/>
      </w:rPr>
      <w:tblPr/>
      <w:tcPr>
        <w:shd w:val="clear" w:color="auto" w:fill="041E41" w:themeFill="text2"/>
        <w:vAlign w:val="bottom"/>
      </w:tcPr>
    </w:tblStylePr>
    <w:tblStylePr w:type="lastRow">
      <w:rPr>
        <w:b w:val="0"/>
        <w:color w:val="000000" w:themeColor="text1"/>
      </w:rPr>
      <w:tblPr/>
      <w:tcPr>
        <w:shd w:val="clear" w:color="auto" w:fill="FD6136" w:themeFill="accent4"/>
      </w:tcPr>
    </w:tblStylePr>
    <w:tblStylePr w:type="firstCol">
      <w:rPr>
        <w:rFonts w:asciiTheme="minorHAnsi" w:hAnsiTheme="minorHAnsi"/>
        <w:b w:val="0"/>
        <w:color w:val="000000" w:themeColor="text1"/>
      </w:rPr>
    </w:tblStylePr>
    <w:tblStylePr w:type="lastCol">
      <w:rPr>
        <w:b w:val="0"/>
        <w:color w:val="000000" w:themeColor="text1"/>
      </w:rPr>
    </w:tblStylePr>
    <w:tblStylePr w:type="band1Horz">
      <w:pPr>
        <w:jc w:val="left"/>
      </w:pPr>
      <w:rPr>
        <w:rFonts w:ascii="Arial" w:hAnsi="Arial"/>
      </w:rPr>
      <w:tblPr/>
      <w:tcPr>
        <w:shd w:val="clear" w:color="auto" w:fill="74CEE8" w:themeFill="accent3" w:themeFillTint="99"/>
      </w:tcPr>
    </w:tblStylePr>
    <w:tblStylePr w:type="band2Horz">
      <w:pPr>
        <w:jc w:val="left"/>
      </w:pPr>
      <w:rPr>
        <w:rFonts w:ascii="Arial" w:hAnsi="Arial"/>
        <w:color w:val="000000" w:themeColor="text1"/>
      </w:rPr>
      <w:tblPr/>
      <w:tcPr>
        <w:shd w:val="clear" w:color="auto" w:fill="A2DEF0" w:themeFill="accent3" w:themeFillTint="66"/>
      </w:tcPr>
    </w:tblStylePr>
  </w:style>
  <w:style w:type="character" w:customStyle="1" w:styleId="font91">
    <w:name w:val="font91"/>
    <w:basedOn w:val="DefaultParagraphFont"/>
    <w:rsid w:val="00146A35"/>
    <w:rPr>
      <w:rFonts w:ascii="Arial" w:hAnsi="Arial" w:cs="Arial" w:hint="default"/>
      <w:b/>
      <w:bCs/>
      <w:i w:val="0"/>
      <w:iCs w:val="0"/>
      <w:strike w:val="0"/>
      <w:dstrike w:val="0"/>
      <w:color w:val="000000"/>
      <w:sz w:val="20"/>
      <w:szCs w:val="20"/>
      <w:u w:val="none"/>
      <w:effect w:val="none"/>
    </w:rPr>
  </w:style>
  <w:style w:type="character" w:customStyle="1" w:styleId="font71">
    <w:name w:val="font71"/>
    <w:basedOn w:val="DefaultParagraphFont"/>
    <w:rsid w:val="00146A35"/>
    <w:rPr>
      <w:rFonts w:ascii="Arial" w:hAnsi="Arial" w:cs="Arial" w:hint="default"/>
      <w:b w:val="0"/>
      <w:bCs w:val="0"/>
      <w:i w:val="0"/>
      <w:iCs w:val="0"/>
      <w:strike w:val="0"/>
      <w:dstrike w:val="0"/>
      <w:color w:val="000000"/>
      <w:sz w:val="20"/>
      <w:szCs w:val="20"/>
      <w:u w:val="none"/>
      <w:effect w:val="none"/>
    </w:rPr>
  </w:style>
  <w:style w:type="paragraph" w:customStyle="1" w:styleId="indent--1">
    <w:name w:val="indent--1"/>
    <w:basedOn w:val="Normal"/>
    <w:uiPriority w:val="99"/>
    <w:semiHidden/>
    <w:rsid w:val="00A10ABF"/>
    <w:pPr>
      <w:spacing w:after="0" w:line="240" w:lineRule="auto"/>
    </w:pPr>
    <w:rPr>
      <w:rFonts w:ascii="Calibr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1177">
      <w:bodyDiv w:val="1"/>
      <w:marLeft w:val="0"/>
      <w:marRight w:val="0"/>
      <w:marTop w:val="0"/>
      <w:marBottom w:val="0"/>
      <w:divBdr>
        <w:top w:val="none" w:sz="0" w:space="0" w:color="auto"/>
        <w:left w:val="none" w:sz="0" w:space="0" w:color="auto"/>
        <w:bottom w:val="none" w:sz="0" w:space="0" w:color="auto"/>
        <w:right w:val="none" w:sz="0" w:space="0" w:color="auto"/>
      </w:divBdr>
      <w:divsChild>
        <w:div w:id="155657635">
          <w:marLeft w:val="360"/>
          <w:marRight w:val="0"/>
          <w:marTop w:val="240"/>
          <w:marBottom w:val="0"/>
          <w:divBdr>
            <w:top w:val="none" w:sz="0" w:space="0" w:color="auto"/>
            <w:left w:val="none" w:sz="0" w:space="0" w:color="auto"/>
            <w:bottom w:val="none" w:sz="0" w:space="0" w:color="auto"/>
            <w:right w:val="none" w:sz="0" w:space="0" w:color="auto"/>
          </w:divBdr>
        </w:div>
        <w:div w:id="172962751">
          <w:marLeft w:val="360"/>
          <w:marRight w:val="0"/>
          <w:marTop w:val="240"/>
          <w:marBottom w:val="0"/>
          <w:divBdr>
            <w:top w:val="none" w:sz="0" w:space="0" w:color="auto"/>
            <w:left w:val="none" w:sz="0" w:space="0" w:color="auto"/>
            <w:bottom w:val="none" w:sz="0" w:space="0" w:color="auto"/>
            <w:right w:val="none" w:sz="0" w:space="0" w:color="auto"/>
          </w:divBdr>
        </w:div>
        <w:div w:id="1689868765">
          <w:marLeft w:val="907"/>
          <w:marRight w:val="0"/>
          <w:marTop w:val="75"/>
          <w:marBottom w:val="0"/>
          <w:divBdr>
            <w:top w:val="none" w:sz="0" w:space="0" w:color="auto"/>
            <w:left w:val="none" w:sz="0" w:space="0" w:color="auto"/>
            <w:bottom w:val="none" w:sz="0" w:space="0" w:color="auto"/>
            <w:right w:val="none" w:sz="0" w:space="0" w:color="auto"/>
          </w:divBdr>
        </w:div>
        <w:div w:id="2046128463">
          <w:marLeft w:val="360"/>
          <w:marRight w:val="0"/>
          <w:marTop w:val="240"/>
          <w:marBottom w:val="0"/>
          <w:divBdr>
            <w:top w:val="none" w:sz="0" w:space="0" w:color="auto"/>
            <w:left w:val="none" w:sz="0" w:space="0" w:color="auto"/>
            <w:bottom w:val="none" w:sz="0" w:space="0" w:color="auto"/>
            <w:right w:val="none" w:sz="0" w:space="0" w:color="auto"/>
          </w:divBdr>
        </w:div>
      </w:divsChild>
    </w:div>
    <w:div w:id="37050408">
      <w:bodyDiv w:val="1"/>
      <w:marLeft w:val="0"/>
      <w:marRight w:val="0"/>
      <w:marTop w:val="0"/>
      <w:marBottom w:val="0"/>
      <w:divBdr>
        <w:top w:val="none" w:sz="0" w:space="0" w:color="auto"/>
        <w:left w:val="none" w:sz="0" w:space="0" w:color="auto"/>
        <w:bottom w:val="none" w:sz="0" w:space="0" w:color="auto"/>
        <w:right w:val="none" w:sz="0" w:space="0" w:color="auto"/>
      </w:divBdr>
    </w:div>
    <w:div w:id="184634427">
      <w:bodyDiv w:val="1"/>
      <w:marLeft w:val="0"/>
      <w:marRight w:val="0"/>
      <w:marTop w:val="0"/>
      <w:marBottom w:val="0"/>
      <w:divBdr>
        <w:top w:val="none" w:sz="0" w:space="0" w:color="auto"/>
        <w:left w:val="none" w:sz="0" w:space="0" w:color="auto"/>
        <w:bottom w:val="none" w:sz="0" w:space="0" w:color="auto"/>
        <w:right w:val="none" w:sz="0" w:space="0" w:color="auto"/>
      </w:divBdr>
    </w:div>
    <w:div w:id="185337776">
      <w:bodyDiv w:val="1"/>
      <w:marLeft w:val="0"/>
      <w:marRight w:val="0"/>
      <w:marTop w:val="0"/>
      <w:marBottom w:val="0"/>
      <w:divBdr>
        <w:top w:val="none" w:sz="0" w:space="0" w:color="auto"/>
        <w:left w:val="none" w:sz="0" w:space="0" w:color="auto"/>
        <w:bottom w:val="none" w:sz="0" w:space="0" w:color="auto"/>
        <w:right w:val="none" w:sz="0" w:space="0" w:color="auto"/>
      </w:divBdr>
      <w:divsChild>
        <w:div w:id="949976480">
          <w:marLeft w:val="720"/>
          <w:marRight w:val="0"/>
          <w:marTop w:val="0"/>
          <w:marBottom w:val="0"/>
          <w:divBdr>
            <w:top w:val="none" w:sz="0" w:space="0" w:color="auto"/>
            <w:left w:val="none" w:sz="0" w:space="0" w:color="auto"/>
            <w:bottom w:val="none" w:sz="0" w:space="0" w:color="auto"/>
            <w:right w:val="none" w:sz="0" w:space="0" w:color="auto"/>
          </w:divBdr>
        </w:div>
        <w:div w:id="2003240691">
          <w:marLeft w:val="720"/>
          <w:marRight w:val="0"/>
          <w:marTop w:val="0"/>
          <w:marBottom w:val="0"/>
          <w:divBdr>
            <w:top w:val="none" w:sz="0" w:space="0" w:color="auto"/>
            <w:left w:val="none" w:sz="0" w:space="0" w:color="auto"/>
            <w:bottom w:val="none" w:sz="0" w:space="0" w:color="auto"/>
            <w:right w:val="none" w:sz="0" w:space="0" w:color="auto"/>
          </w:divBdr>
        </w:div>
      </w:divsChild>
    </w:div>
    <w:div w:id="342317215">
      <w:bodyDiv w:val="1"/>
      <w:marLeft w:val="0"/>
      <w:marRight w:val="0"/>
      <w:marTop w:val="0"/>
      <w:marBottom w:val="0"/>
      <w:divBdr>
        <w:top w:val="none" w:sz="0" w:space="0" w:color="auto"/>
        <w:left w:val="none" w:sz="0" w:space="0" w:color="auto"/>
        <w:bottom w:val="none" w:sz="0" w:space="0" w:color="auto"/>
        <w:right w:val="none" w:sz="0" w:space="0" w:color="auto"/>
      </w:divBdr>
    </w:div>
    <w:div w:id="345207017">
      <w:bodyDiv w:val="1"/>
      <w:marLeft w:val="0"/>
      <w:marRight w:val="0"/>
      <w:marTop w:val="0"/>
      <w:marBottom w:val="0"/>
      <w:divBdr>
        <w:top w:val="none" w:sz="0" w:space="0" w:color="auto"/>
        <w:left w:val="none" w:sz="0" w:space="0" w:color="auto"/>
        <w:bottom w:val="none" w:sz="0" w:space="0" w:color="auto"/>
        <w:right w:val="none" w:sz="0" w:space="0" w:color="auto"/>
      </w:divBdr>
    </w:div>
    <w:div w:id="351415956">
      <w:bodyDiv w:val="1"/>
      <w:marLeft w:val="0"/>
      <w:marRight w:val="0"/>
      <w:marTop w:val="0"/>
      <w:marBottom w:val="0"/>
      <w:divBdr>
        <w:top w:val="none" w:sz="0" w:space="0" w:color="auto"/>
        <w:left w:val="none" w:sz="0" w:space="0" w:color="auto"/>
        <w:bottom w:val="none" w:sz="0" w:space="0" w:color="auto"/>
        <w:right w:val="none" w:sz="0" w:space="0" w:color="auto"/>
      </w:divBdr>
      <w:divsChild>
        <w:div w:id="565070527">
          <w:marLeft w:val="1598"/>
          <w:marRight w:val="187"/>
          <w:marTop w:val="0"/>
          <w:marBottom w:val="0"/>
          <w:divBdr>
            <w:top w:val="none" w:sz="0" w:space="0" w:color="auto"/>
            <w:left w:val="none" w:sz="0" w:space="0" w:color="auto"/>
            <w:bottom w:val="none" w:sz="0" w:space="0" w:color="auto"/>
            <w:right w:val="none" w:sz="0" w:space="0" w:color="auto"/>
          </w:divBdr>
        </w:div>
        <w:div w:id="769006099">
          <w:marLeft w:val="533"/>
          <w:marRight w:val="0"/>
          <w:marTop w:val="240"/>
          <w:marBottom w:val="0"/>
          <w:divBdr>
            <w:top w:val="none" w:sz="0" w:space="0" w:color="auto"/>
            <w:left w:val="none" w:sz="0" w:space="0" w:color="auto"/>
            <w:bottom w:val="none" w:sz="0" w:space="0" w:color="auto"/>
            <w:right w:val="none" w:sz="0" w:space="0" w:color="auto"/>
          </w:divBdr>
        </w:div>
        <w:div w:id="1466506770">
          <w:marLeft w:val="1066"/>
          <w:marRight w:val="187"/>
          <w:marTop w:val="0"/>
          <w:marBottom w:val="0"/>
          <w:divBdr>
            <w:top w:val="none" w:sz="0" w:space="0" w:color="auto"/>
            <w:left w:val="none" w:sz="0" w:space="0" w:color="auto"/>
            <w:bottom w:val="none" w:sz="0" w:space="0" w:color="auto"/>
            <w:right w:val="none" w:sz="0" w:space="0" w:color="auto"/>
          </w:divBdr>
        </w:div>
        <w:div w:id="1887839688">
          <w:marLeft w:val="1598"/>
          <w:marRight w:val="187"/>
          <w:marTop w:val="0"/>
          <w:marBottom w:val="0"/>
          <w:divBdr>
            <w:top w:val="none" w:sz="0" w:space="0" w:color="auto"/>
            <w:left w:val="none" w:sz="0" w:space="0" w:color="auto"/>
            <w:bottom w:val="none" w:sz="0" w:space="0" w:color="auto"/>
            <w:right w:val="none" w:sz="0" w:space="0" w:color="auto"/>
          </w:divBdr>
        </w:div>
      </w:divsChild>
    </w:div>
    <w:div w:id="407192919">
      <w:bodyDiv w:val="1"/>
      <w:marLeft w:val="0"/>
      <w:marRight w:val="0"/>
      <w:marTop w:val="0"/>
      <w:marBottom w:val="0"/>
      <w:divBdr>
        <w:top w:val="none" w:sz="0" w:space="0" w:color="auto"/>
        <w:left w:val="none" w:sz="0" w:space="0" w:color="auto"/>
        <w:bottom w:val="none" w:sz="0" w:space="0" w:color="auto"/>
        <w:right w:val="none" w:sz="0" w:space="0" w:color="auto"/>
      </w:divBdr>
      <w:divsChild>
        <w:div w:id="842621269">
          <w:marLeft w:val="533"/>
          <w:marRight w:val="0"/>
          <w:marTop w:val="240"/>
          <w:marBottom w:val="0"/>
          <w:divBdr>
            <w:top w:val="none" w:sz="0" w:space="0" w:color="auto"/>
            <w:left w:val="none" w:sz="0" w:space="0" w:color="auto"/>
            <w:bottom w:val="none" w:sz="0" w:space="0" w:color="auto"/>
            <w:right w:val="none" w:sz="0" w:space="0" w:color="auto"/>
          </w:divBdr>
        </w:div>
      </w:divsChild>
    </w:div>
    <w:div w:id="452985209">
      <w:bodyDiv w:val="1"/>
      <w:marLeft w:val="0"/>
      <w:marRight w:val="0"/>
      <w:marTop w:val="0"/>
      <w:marBottom w:val="0"/>
      <w:divBdr>
        <w:top w:val="none" w:sz="0" w:space="0" w:color="auto"/>
        <w:left w:val="none" w:sz="0" w:space="0" w:color="auto"/>
        <w:bottom w:val="none" w:sz="0" w:space="0" w:color="auto"/>
        <w:right w:val="none" w:sz="0" w:space="0" w:color="auto"/>
      </w:divBdr>
    </w:div>
    <w:div w:id="561454297">
      <w:bodyDiv w:val="1"/>
      <w:marLeft w:val="0"/>
      <w:marRight w:val="0"/>
      <w:marTop w:val="0"/>
      <w:marBottom w:val="0"/>
      <w:divBdr>
        <w:top w:val="none" w:sz="0" w:space="0" w:color="auto"/>
        <w:left w:val="none" w:sz="0" w:space="0" w:color="auto"/>
        <w:bottom w:val="none" w:sz="0" w:space="0" w:color="auto"/>
        <w:right w:val="none" w:sz="0" w:space="0" w:color="auto"/>
      </w:divBdr>
      <w:divsChild>
        <w:div w:id="567040584">
          <w:marLeft w:val="533"/>
          <w:marRight w:val="0"/>
          <w:marTop w:val="240"/>
          <w:marBottom w:val="0"/>
          <w:divBdr>
            <w:top w:val="none" w:sz="0" w:space="0" w:color="auto"/>
            <w:left w:val="none" w:sz="0" w:space="0" w:color="auto"/>
            <w:bottom w:val="none" w:sz="0" w:space="0" w:color="auto"/>
            <w:right w:val="none" w:sz="0" w:space="0" w:color="auto"/>
          </w:divBdr>
        </w:div>
      </w:divsChild>
    </w:div>
    <w:div w:id="579406113">
      <w:bodyDiv w:val="1"/>
      <w:marLeft w:val="0"/>
      <w:marRight w:val="0"/>
      <w:marTop w:val="0"/>
      <w:marBottom w:val="0"/>
      <w:divBdr>
        <w:top w:val="none" w:sz="0" w:space="0" w:color="auto"/>
        <w:left w:val="none" w:sz="0" w:space="0" w:color="auto"/>
        <w:bottom w:val="none" w:sz="0" w:space="0" w:color="auto"/>
        <w:right w:val="none" w:sz="0" w:space="0" w:color="auto"/>
      </w:divBdr>
      <w:divsChild>
        <w:div w:id="2003000010">
          <w:marLeft w:val="0"/>
          <w:marRight w:val="0"/>
          <w:marTop w:val="0"/>
          <w:marBottom w:val="0"/>
          <w:divBdr>
            <w:top w:val="none" w:sz="0" w:space="0" w:color="auto"/>
            <w:left w:val="none" w:sz="0" w:space="0" w:color="auto"/>
            <w:bottom w:val="none" w:sz="0" w:space="0" w:color="auto"/>
            <w:right w:val="none" w:sz="0" w:space="0" w:color="auto"/>
          </w:divBdr>
        </w:div>
      </w:divsChild>
    </w:div>
    <w:div w:id="584145272">
      <w:bodyDiv w:val="1"/>
      <w:marLeft w:val="0"/>
      <w:marRight w:val="0"/>
      <w:marTop w:val="0"/>
      <w:marBottom w:val="0"/>
      <w:divBdr>
        <w:top w:val="none" w:sz="0" w:space="0" w:color="auto"/>
        <w:left w:val="none" w:sz="0" w:space="0" w:color="auto"/>
        <w:bottom w:val="none" w:sz="0" w:space="0" w:color="auto"/>
        <w:right w:val="none" w:sz="0" w:space="0" w:color="auto"/>
      </w:divBdr>
      <w:divsChild>
        <w:div w:id="493879981">
          <w:marLeft w:val="1066"/>
          <w:marRight w:val="0"/>
          <w:marTop w:val="0"/>
          <w:marBottom w:val="240"/>
          <w:divBdr>
            <w:top w:val="none" w:sz="0" w:space="0" w:color="auto"/>
            <w:left w:val="none" w:sz="0" w:space="0" w:color="auto"/>
            <w:bottom w:val="none" w:sz="0" w:space="0" w:color="auto"/>
            <w:right w:val="none" w:sz="0" w:space="0" w:color="auto"/>
          </w:divBdr>
        </w:div>
        <w:div w:id="1179737427">
          <w:marLeft w:val="1066"/>
          <w:marRight w:val="0"/>
          <w:marTop w:val="0"/>
          <w:marBottom w:val="240"/>
          <w:divBdr>
            <w:top w:val="none" w:sz="0" w:space="0" w:color="auto"/>
            <w:left w:val="none" w:sz="0" w:space="0" w:color="auto"/>
            <w:bottom w:val="none" w:sz="0" w:space="0" w:color="auto"/>
            <w:right w:val="none" w:sz="0" w:space="0" w:color="auto"/>
          </w:divBdr>
        </w:div>
        <w:div w:id="1554461420">
          <w:marLeft w:val="1066"/>
          <w:marRight w:val="0"/>
          <w:marTop w:val="0"/>
          <w:marBottom w:val="240"/>
          <w:divBdr>
            <w:top w:val="none" w:sz="0" w:space="0" w:color="auto"/>
            <w:left w:val="none" w:sz="0" w:space="0" w:color="auto"/>
            <w:bottom w:val="none" w:sz="0" w:space="0" w:color="auto"/>
            <w:right w:val="none" w:sz="0" w:space="0" w:color="auto"/>
          </w:divBdr>
        </w:div>
      </w:divsChild>
    </w:div>
    <w:div w:id="624892988">
      <w:bodyDiv w:val="1"/>
      <w:marLeft w:val="0"/>
      <w:marRight w:val="0"/>
      <w:marTop w:val="0"/>
      <w:marBottom w:val="0"/>
      <w:divBdr>
        <w:top w:val="none" w:sz="0" w:space="0" w:color="auto"/>
        <w:left w:val="none" w:sz="0" w:space="0" w:color="auto"/>
        <w:bottom w:val="none" w:sz="0" w:space="0" w:color="auto"/>
        <w:right w:val="none" w:sz="0" w:space="0" w:color="auto"/>
      </w:divBdr>
      <w:divsChild>
        <w:div w:id="560941335">
          <w:marLeft w:val="1066"/>
          <w:marRight w:val="0"/>
          <w:marTop w:val="240"/>
          <w:marBottom w:val="0"/>
          <w:divBdr>
            <w:top w:val="none" w:sz="0" w:space="0" w:color="auto"/>
            <w:left w:val="none" w:sz="0" w:space="0" w:color="auto"/>
            <w:bottom w:val="none" w:sz="0" w:space="0" w:color="auto"/>
            <w:right w:val="none" w:sz="0" w:space="0" w:color="auto"/>
          </w:divBdr>
        </w:div>
        <w:div w:id="846289193">
          <w:marLeft w:val="533"/>
          <w:marRight w:val="0"/>
          <w:marTop w:val="240"/>
          <w:marBottom w:val="0"/>
          <w:divBdr>
            <w:top w:val="none" w:sz="0" w:space="0" w:color="auto"/>
            <w:left w:val="none" w:sz="0" w:space="0" w:color="auto"/>
            <w:bottom w:val="none" w:sz="0" w:space="0" w:color="auto"/>
            <w:right w:val="none" w:sz="0" w:space="0" w:color="auto"/>
          </w:divBdr>
        </w:div>
        <w:div w:id="1048141285">
          <w:marLeft w:val="1066"/>
          <w:marRight w:val="0"/>
          <w:marTop w:val="240"/>
          <w:marBottom w:val="0"/>
          <w:divBdr>
            <w:top w:val="none" w:sz="0" w:space="0" w:color="auto"/>
            <w:left w:val="none" w:sz="0" w:space="0" w:color="auto"/>
            <w:bottom w:val="none" w:sz="0" w:space="0" w:color="auto"/>
            <w:right w:val="none" w:sz="0" w:space="0" w:color="auto"/>
          </w:divBdr>
        </w:div>
        <w:div w:id="1467894932">
          <w:marLeft w:val="1066"/>
          <w:marRight w:val="0"/>
          <w:marTop w:val="240"/>
          <w:marBottom w:val="0"/>
          <w:divBdr>
            <w:top w:val="none" w:sz="0" w:space="0" w:color="auto"/>
            <w:left w:val="none" w:sz="0" w:space="0" w:color="auto"/>
            <w:bottom w:val="none" w:sz="0" w:space="0" w:color="auto"/>
            <w:right w:val="none" w:sz="0" w:space="0" w:color="auto"/>
          </w:divBdr>
        </w:div>
      </w:divsChild>
    </w:div>
    <w:div w:id="707531436">
      <w:bodyDiv w:val="1"/>
      <w:marLeft w:val="0"/>
      <w:marRight w:val="0"/>
      <w:marTop w:val="0"/>
      <w:marBottom w:val="0"/>
      <w:divBdr>
        <w:top w:val="none" w:sz="0" w:space="0" w:color="auto"/>
        <w:left w:val="none" w:sz="0" w:space="0" w:color="auto"/>
        <w:bottom w:val="none" w:sz="0" w:space="0" w:color="auto"/>
        <w:right w:val="none" w:sz="0" w:space="0" w:color="auto"/>
      </w:divBdr>
      <w:divsChild>
        <w:div w:id="324169880">
          <w:marLeft w:val="360"/>
          <w:marRight w:val="0"/>
          <w:marTop w:val="240"/>
          <w:marBottom w:val="0"/>
          <w:divBdr>
            <w:top w:val="none" w:sz="0" w:space="0" w:color="auto"/>
            <w:left w:val="none" w:sz="0" w:space="0" w:color="auto"/>
            <w:bottom w:val="none" w:sz="0" w:space="0" w:color="auto"/>
            <w:right w:val="none" w:sz="0" w:space="0" w:color="auto"/>
          </w:divBdr>
        </w:div>
        <w:div w:id="1325429568">
          <w:marLeft w:val="360"/>
          <w:marRight w:val="0"/>
          <w:marTop w:val="240"/>
          <w:marBottom w:val="0"/>
          <w:divBdr>
            <w:top w:val="none" w:sz="0" w:space="0" w:color="auto"/>
            <w:left w:val="none" w:sz="0" w:space="0" w:color="auto"/>
            <w:bottom w:val="none" w:sz="0" w:space="0" w:color="auto"/>
            <w:right w:val="none" w:sz="0" w:space="0" w:color="auto"/>
          </w:divBdr>
        </w:div>
        <w:div w:id="1326322841">
          <w:marLeft w:val="360"/>
          <w:marRight w:val="0"/>
          <w:marTop w:val="240"/>
          <w:marBottom w:val="0"/>
          <w:divBdr>
            <w:top w:val="none" w:sz="0" w:space="0" w:color="auto"/>
            <w:left w:val="none" w:sz="0" w:space="0" w:color="auto"/>
            <w:bottom w:val="none" w:sz="0" w:space="0" w:color="auto"/>
            <w:right w:val="none" w:sz="0" w:space="0" w:color="auto"/>
          </w:divBdr>
        </w:div>
        <w:div w:id="2095127749">
          <w:marLeft w:val="360"/>
          <w:marRight w:val="0"/>
          <w:marTop w:val="240"/>
          <w:marBottom w:val="0"/>
          <w:divBdr>
            <w:top w:val="none" w:sz="0" w:space="0" w:color="auto"/>
            <w:left w:val="none" w:sz="0" w:space="0" w:color="auto"/>
            <w:bottom w:val="none" w:sz="0" w:space="0" w:color="auto"/>
            <w:right w:val="none" w:sz="0" w:space="0" w:color="auto"/>
          </w:divBdr>
        </w:div>
      </w:divsChild>
    </w:div>
    <w:div w:id="709568670">
      <w:bodyDiv w:val="1"/>
      <w:marLeft w:val="0"/>
      <w:marRight w:val="0"/>
      <w:marTop w:val="0"/>
      <w:marBottom w:val="0"/>
      <w:divBdr>
        <w:top w:val="none" w:sz="0" w:space="0" w:color="auto"/>
        <w:left w:val="none" w:sz="0" w:space="0" w:color="auto"/>
        <w:bottom w:val="none" w:sz="0" w:space="0" w:color="auto"/>
        <w:right w:val="none" w:sz="0" w:space="0" w:color="auto"/>
      </w:divBdr>
      <w:divsChild>
        <w:div w:id="1322080607">
          <w:marLeft w:val="533"/>
          <w:marRight w:val="0"/>
          <w:marTop w:val="240"/>
          <w:marBottom w:val="0"/>
          <w:divBdr>
            <w:top w:val="none" w:sz="0" w:space="0" w:color="auto"/>
            <w:left w:val="none" w:sz="0" w:space="0" w:color="auto"/>
            <w:bottom w:val="none" w:sz="0" w:space="0" w:color="auto"/>
            <w:right w:val="none" w:sz="0" w:space="0" w:color="auto"/>
          </w:divBdr>
        </w:div>
      </w:divsChild>
    </w:div>
    <w:div w:id="710152037">
      <w:bodyDiv w:val="1"/>
      <w:marLeft w:val="0"/>
      <w:marRight w:val="0"/>
      <w:marTop w:val="0"/>
      <w:marBottom w:val="0"/>
      <w:divBdr>
        <w:top w:val="none" w:sz="0" w:space="0" w:color="auto"/>
        <w:left w:val="none" w:sz="0" w:space="0" w:color="auto"/>
        <w:bottom w:val="none" w:sz="0" w:space="0" w:color="auto"/>
        <w:right w:val="none" w:sz="0" w:space="0" w:color="auto"/>
      </w:divBdr>
      <w:divsChild>
        <w:div w:id="448470519">
          <w:marLeft w:val="533"/>
          <w:marRight w:val="0"/>
          <w:marTop w:val="0"/>
          <w:marBottom w:val="0"/>
          <w:divBdr>
            <w:top w:val="none" w:sz="0" w:space="0" w:color="auto"/>
            <w:left w:val="none" w:sz="0" w:space="0" w:color="auto"/>
            <w:bottom w:val="none" w:sz="0" w:space="0" w:color="auto"/>
            <w:right w:val="none" w:sz="0" w:space="0" w:color="auto"/>
          </w:divBdr>
        </w:div>
      </w:divsChild>
    </w:div>
    <w:div w:id="723017917">
      <w:bodyDiv w:val="1"/>
      <w:marLeft w:val="0"/>
      <w:marRight w:val="0"/>
      <w:marTop w:val="0"/>
      <w:marBottom w:val="0"/>
      <w:divBdr>
        <w:top w:val="none" w:sz="0" w:space="0" w:color="auto"/>
        <w:left w:val="none" w:sz="0" w:space="0" w:color="auto"/>
        <w:bottom w:val="none" w:sz="0" w:space="0" w:color="auto"/>
        <w:right w:val="none" w:sz="0" w:space="0" w:color="auto"/>
      </w:divBdr>
    </w:div>
    <w:div w:id="734398966">
      <w:bodyDiv w:val="1"/>
      <w:marLeft w:val="0"/>
      <w:marRight w:val="0"/>
      <w:marTop w:val="0"/>
      <w:marBottom w:val="0"/>
      <w:divBdr>
        <w:top w:val="none" w:sz="0" w:space="0" w:color="auto"/>
        <w:left w:val="none" w:sz="0" w:space="0" w:color="auto"/>
        <w:bottom w:val="none" w:sz="0" w:space="0" w:color="auto"/>
        <w:right w:val="none" w:sz="0" w:space="0" w:color="auto"/>
      </w:divBdr>
    </w:div>
    <w:div w:id="753286163">
      <w:bodyDiv w:val="1"/>
      <w:marLeft w:val="0"/>
      <w:marRight w:val="0"/>
      <w:marTop w:val="0"/>
      <w:marBottom w:val="0"/>
      <w:divBdr>
        <w:top w:val="none" w:sz="0" w:space="0" w:color="auto"/>
        <w:left w:val="none" w:sz="0" w:space="0" w:color="auto"/>
        <w:bottom w:val="none" w:sz="0" w:space="0" w:color="auto"/>
        <w:right w:val="none" w:sz="0" w:space="0" w:color="auto"/>
      </w:divBdr>
      <w:divsChild>
        <w:div w:id="290595934">
          <w:marLeft w:val="533"/>
          <w:marRight w:val="0"/>
          <w:marTop w:val="0"/>
          <w:marBottom w:val="160"/>
          <w:divBdr>
            <w:top w:val="none" w:sz="0" w:space="0" w:color="auto"/>
            <w:left w:val="none" w:sz="0" w:space="0" w:color="auto"/>
            <w:bottom w:val="none" w:sz="0" w:space="0" w:color="auto"/>
            <w:right w:val="none" w:sz="0" w:space="0" w:color="auto"/>
          </w:divBdr>
        </w:div>
      </w:divsChild>
    </w:div>
    <w:div w:id="788083062">
      <w:bodyDiv w:val="1"/>
      <w:marLeft w:val="0"/>
      <w:marRight w:val="0"/>
      <w:marTop w:val="0"/>
      <w:marBottom w:val="0"/>
      <w:divBdr>
        <w:top w:val="none" w:sz="0" w:space="0" w:color="auto"/>
        <w:left w:val="none" w:sz="0" w:space="0" w:color="auto"/>
        <w:bottom w:val="none" w:sz="0" w:space="0" w:color="auto"/>
        <w:right w:val="none" w:sz="0" w:space="0" w:color="auto"/>
      </w:divBdr>
    </w:div>
    <w:div w:id="792672161">
      <w:bodyDiv w:val="1"/>
      <w:marLeft w:val="0"/>
      <w:marRight w:val="0"/>
      <w:marTop w:val="0"/>
      <w:marBottom w:val="0"/>
      <w:divBdr>
        <w:top w:val="none" w:sz="0" w:space="0" w:color="auto"/>
        <w:left w:val="none" w:sz="0" w:space="0" w:color="auto"/>
        <w:bottom w:val="none" w:sz="0" w:space="0" w:color="auto"/>
        <w:right w:val="none" w:sz="0" w:space="0" w:color="auto"/>
      </w:divBdr>
    </w:div>
    <w:div w:id="805853706">
      <w:bodyDiv w:val="1"/>
      <w:marLeft w:val="0"/>
      <w:marRight w:val="0"/>
      <w:marTop w:val="0"/>
      <w:marBottom w:val="0"/>
      <w:divBdr>
        <w:top w:val="none" w:sz="0" w:space="0" w:color="auto"/>
        <w:left w:val="none" w:sz="0" w:space="0" w:color="auto"/>
        <w:bottom w:val="none" w:sz="0" w:space="0" w:color="auto"/>
        <w:right w:val="none" w:sz="0" w:space="0" w:color="auto"/>
      </w:divBdr>
    </w:div>
    <w:div w:id="866480269">
      <w:bodyDiv w:val="1"/>
      <w:marLeft w:val="0"/>
      <w:marRight w:val="0"/>
      <w:marTop w:val="0"/>
      <w:marBottom w:val="0"/>
      <w:divBdr>
        <w:top w:val="none" w:sz="0" w:space="0" w:color="auto"/>
        <w:left w:val="none" w:sz="0" w:space="0" w:color="auto"/>
        <w:bottom w:val="none" w:sz="0" w:space="0" w:color="auto"/>
        <w:right w:val="none" w:sz="0" w:space="0" w:color="auto"/>
      </w:divBdr>
      <w:divsChild>
        <w:div w:id="978993238">
          <w:marLeft w:val="533"/>
          <w:marRight w:val="0"/>
          <w:marTop w:val="0"/>
          <w:marBottom w:val="0"/>
          <w:divBdr>
            <w:top w:val="none" w:sz="0" w:space="0" w:color="auto"/>
            <w:left w:val="none" w:sz="0" w:space="0" w:color="auto"/>
            <w:bottom w:val="none" w:sz="0" w:space="0" w:color="auto"/>
            <w:right w:val="none" w:sz="0" w:space="0" w:color="auto"/>
          </w:divBdr>
        </w:div>
      </w:divsChild>
    </w:div>
    <w:div w:id="884217703">
      <w:bodyDiv w:val="1"/>
      <w:marLeft w:val="0"/>
      <w:marRight w:val="0"/>
      <w:marTop w:val="0"/>
      <w:marBottom w:val="0"/>
      <w:divBdr>
        <w:top w:val="none" w:sz="0" w:space="0" w:color="auto"/>
        <w:left w:val="none" w:sz="0" w:space="0" w:color="auto"/>
        <w:bottom w:val="none" w:sz="0" w:space="0" w:color="auto"/>
        <w:right w:val="none" w:sz="0" w:space="0" w:color="auto"/>
      </w:divBdr>
    </w:div>
    <w:div w:id="937180584">
      <w:bodyDiv w:val="1"/>
      <w:marLeft w:val="0"/>
      <w:marRight w:val="0"/>
      <w:marTop w:val="0"/>
      <w:marBottom w:val="0"/>
      <w:divBdr>
        <w:top w:val="none" w:sz="0" w:space="0" w:color="auto"/>
        <w:left w:val="none" w:sz="0" w:space="0" w:color="auto"/>
        <w:bottom w:val="none" w:sz="0" w:space="0" w:color="auto"/>
        <w:right w:val="none" w:sz="0" w:space="0" w:color="auto"/>
      </w:divBdr>
    </w:div>
    <w:div w:id="980647193">
      <w:bodyDiv w:val="1"/>
      <w:marLeft w:val="0"/>
      <w:marRight w:val="0"/>
      <w:marTop w:val="0"/>
      <w:marBottom w:val="0"/>
      <w:divBdr>
        <w:top w:val="none" w:sz="0" w:space="0" w:color="auto"/>
        <w:left w:val="none" w:sz="0" w:space="0" w:color="auto"/>
        <w:bottom w:val="none" w:sz="0" w:space="0" w:color="auto"/>
        <w:right w:val="none" w:sz="0" w:space="0" w:color="auto"/>
      </w:divBdr>
    </w:div>
    <w:div w:id="1024941090">
      <w:bodyDiv w:val="1"/>
      <w:marLeft w:val="0"/>
      <w:marRight w:val="0"/>
      <w:marTop w:val="0"/>
      <w:marBottom w:val="0"/>
      <w:divBdr>
        <w:top w:val="none" w:sz="0" w:space="0" w:color="auto"/>
        <w:left w:val="none" w:sz="0" w:space="0" w:color="auto"/>
        <w:bottom w:val="none" w:sz="0" w:space="0" w:color="auto"/>
        <w:right w:val="none" w:sz="0" w:space="0" w:color="auto"/>
      </w:divBdr>
      <w:divsChild>
        <w:div w:id="430470447">
          <w:marLeft w:val="533"/>
          <w:marRight w:val="0"/>
          <w:marTop w:val="0"/>
          <w:marBottom w:val="240"/>
          <w:divBdr>
            <w:top w:val="none" w:sz="0" w:space="0" w:color="auto"/>
            <w:left w:val="none" w:sz="0" w:space="0" w:color="auto"/>
            <w:bottom w:val="none" w:sz="0" w:space="0" w:color="auto"/>
            <w:right w:val="none" w:sz="0" w:space="0" w:color="auto"/>
          </w:divBdr>
        </w:div>
        <w:div w:id="1545677304">
          <w:marLeft w:val="533"/>
          <w:marRight w:val="0"/>
          <w:marTop w:val="0"/>
          <w:marBottom w:val="240"/>
          <w:divBdr>
            <w:top w:val="none" w:sz="0" w:space="0" w:color="auto"/>
            <w:left w:val="none" w:sz="0" w:space="0" w:color="auto"/>
            <w:bottom w:val="none" w:sz="0" w:space="0" w:color="auto"/>
            <w:right w:val="none" w:sz="0" w:space="0" w:color="auto"/>
          </w:divBdr>
        </w:div>
      </w:divsChild>
    </w:div>
    <w:div w:id="1053962487">
      <w:bodyDiv w:val="1"/>
      <w:marLeft w:val="0"/>
      <w:marRight w:val="0"/>
      <w:marTop w:val="0"/>
      <w:marBottom w:val="0"/>
      <w:divBdr>
        <w:top w:val="none" w:sz="0" w:space="0" w:color="auto"/>
        <w:left w:val="none" w:sz="0" w:space="0" w:color="auto"/>
        <w:bottom w:val="none" w:sz="0" w:space="0" w:color="auto"/>
        <w:right w:val="none" w:sz="0" w:space="0" w:color="auto"/>
      </w:divBdr>
      <w:divsChild>
        <w:div w:id="1877966695">
          <w:marLeft w:val="533"/>
          <w:marRight w:val="0"/>
          <w:marTop w:val="240"/>
          <w:marBottom w:val="0"/>
          <w:divBdr>
            <w:top w:val="none" w:sz="0" w:space="0" w:color="auto"/>
            <w:left w:val="none" w:sz="0" w:space="0" w:color="auto"/>
            <w:bottom w:val="none" w:sz="0" w:space="0" w:color="auto"/>
            <w:right w:val="none" w:sz="0" w:space="0" w:color="auto"/>
          </w:divBdr>
        </w:div>
      </w:divsChild>
    </w:div>
    <w:div w:id="1064597699">
      <w:bodyDiv w:val="1"/>
      <w:marLeft w:val="0"/>
      <w:marRight w:val="0"/>
      <w:marTop w:val="0"/>
      <w:marBottom w:val="0"/>
      <w:divBdr>
        <w:top w:val="none" w:sz="0" w:space="0" w:color="auto"/>
        <w:left w:val="none" w:sz="0" w:space="0" w:color="auto"/>
        <w:bottom w:val="none" w:sz="0" w:space="0" w:color="auto"/>
        <w:right w:val="none" w:sz="0" w:space="0" w:color="auto"/>
      </w:divBdr>
      <w:divsChild>
        <w:div w:id="1108046117">
          <w:marLeft w:val="547"/>
          <w:marRight w:val="0"/>
          <w:marTop w:val="0"/>
          <w:marBottom w:val="0"/>
          <w:divBdr>
            <w:top w:val="none" w:sz="0" w:space="0" w:color="auto"/>
            <w:left w:val="none" w:sz="0" w:space="0" w:color="auto"/>
            <w:bottom w:val="none" w:sz="0" w:space="0" w:color="auto"/>
            <w:right w:val="none" w:sz="0" w:space="0" w:color="auto"/>
          </w:divBdr>
        </w:div>
      </w:divsChild>
    </w:div>
    <w:div w:id="1153058465">
      <w:bodyDiv w:val="1"/>
      <w:marLeft w:val="0"/>
      <w:marRight w:val="0"/>
      <w:marTop w:val="0"/>
      <w:marBottom w:val="0"/>
      <w:divBdr>
        <w:top w:val="none" w:sz="0" w:space="0" w:color="auto"/>
        <w:left w:val="none" w:sz="0" w:space="0" w:color="auto"/>
        <w:bottom w:val="none" w:sz="0" w:space="0" w:color="auto"/>
        <w:right w:val="none" w:sz="0" w:space="0" w:color="auto"/>
      </w:divBdr>
    </w:div>
    <w:div w:id="1153982390">
      <w:bodyDiv w:val="1"/>
      <w:marLeft w:val="0"/>
      <w:marRight w:val="0"/>
      <w:marTop w:val="0"/>
      <w:marBottom w:val="0"/>
      <w:divBdr>
        <w:top w:val="none" w:sz="0" w:space="0" w:color="auto"/>
        <w:left w:val="none" w:sz="0" w:space="0" w:color="auto"/>
        <w:bottom w:val="none" w:sz="0" w:space="0" w:color="auto"/>
        <w:right w:val="none" w:sz="0" w:space="0" w:color="auto"/>
      </w:divBdr>
      <w:divsChild>
        <w:div w:id="94181864">
          <w:marLeft w:val="533"/>
          <w:marRight w:val="0"/>
          <w:marTop w:val="0"/>
          <w:marBottom w:val="0"/>
          <w:divBdr>
            <w:top w:val="none" w:sz="0" w:space="0" w:color="auto"/>
            <w:left w:val="none" w:sz="0" w:space="0" w:color="auto"/>
            <w:bottom w:val="none" w:sz="0" w:space="0" w:color="auto"/>
            <w:right w:val="none" w:sz="0" w:space="0" w:color="auto"/>
          </w:divBdr>
        </w:div>
        <w:div w:id="183205606">
          <w:marLeft w:val="1066"/>
          <w:marRight w:val="0"/>
          <w:marTop w:val="0"/>
          <w:marBottom w:val="0"/>
          <w:divBdr>
            <w:top w:val="none" w:sz="0" w:space="0" w:color="auto"/>
            <w:left w:val="none" w:sz="0" w:space="0" w:color="auto"/>
            <w:bottom w:val="none" w:sz="0" w:space="0" w:color="auto"/>
            <w:right w:val="none" w:sz="0" w:space="0" w:color="auto"/>
          </w:divBdr>
        </w:div>
        <w:div w:id="1947149059">
          <w:marLeft w:val="1066"/>
          <w:marRight w:val="0"/>
          <w:marTop w:val="0"/>
          <w:marBottom w:val="0"/>
          <w:divBdr>
            <w:top w:val="none" w:sz="0" w:space="0" w:color="auto"/>
            <w:left w:val="none" w:sz="0" w:space="0" w:color="auto"/>
            <w:bottom w:val="none" w:sz="0" w:space="0" w:color="auto"/>
            <w:right w:val="none" w:sz="0" w:space="0" w:color="auto"/>
          </w:divBdr>
        </w:div>
        <w:div w:id="2108234474">
          <w:marLeft w:val="1066"/>
          <w:marRight w:val="0"/>
          <w:marTop w:val="0"/>
          <w:marBottom w:val="0"/>
          <w:divBdr>
            <w:top w:val="none" w:sz="0" w:space="0" w:color="auto"/>
            <w:left w:val="none" w:sz="0" w:space="0" w:color="auto"/>
            <w:bottom w:val="none" w:sz="0" w:space="0" w:color="auto"/>
            <w:right w:val="none" w:sz="0" w:space="0" w:color="auto"/>
          </w:divBdr>
        </w:div>
      </w:divsChild>
    </w:div>
    <w:div w:id="1165821859">
      <w:bodyDiv w:val="1"/>
      <w:marLeft w:val="0"/>
      <w:marRight w:val="0"/>
      <w:marTop w:val="0"/>
      <w:marBottom w:val="0"/>
      <w:divBdr>
        <w:top w:val="none" w:sz="0" w:space="0" w:color="auto"/>
        <w:left w:val="none" w:sz="0" w:space="0" w:color="auto"/>
        <w:bottom w:val="none" w:sz="0" w:space="0" w:color="auto"/>
        <w:right w:val="none" w:sz="0" w:space="0" w:color="auto"/>
      </w:divBdr>
      <w:divsChild>
        <w:div w:id="2133475217">
          <w:marLeft w:val="533"/>
          <w:marRight w:val="0"/>
          <w:marTop w:val="0"/>
          <w:marBottom w:val="160"/>
          <w:divBdr>
            <w:top w:val="none" w:sz="0" w:space="0" w:color="auto"/>
            <w:left w:val="none" w:sz="0" w:space="0" w:color="auto"/>
            <w:bottom w:val="none" w:sz="0" w:space="0" w:color="auto"/>
            <w:right w:val="none" w:sz="0" w:space="0" w:color="auto"/>
          </w:divBdr>
        </w:div>
      </w:divsChild>
    </w:div>
    <w:div w:id="1279292367">
      <w:bodyDiv w:val="1"/>
      <w:marLeft w:val="0"/>
      <w:marRight w:val="0"/>
      <w:marTop w:val="0"/>
      <w:marBottom w:val="0"/>
      <w:divBdr>
        <w:top w:val="none" w:sz="0" w:space="0" w:color="auto"/>
        <w:left w:val="none" w:sz="0" w:space="0" w:color="auto"/>
        <w:bottom w:val="none" w:sz="0" w:space="0" w:color="auto"/>
        <w:right w:val="none" w:sz="0" w:space="0" w:color="auto"/>
      </w:divBdr>
    </w:div>
    <w:div w:id="1288510631">
      <w:bodyDiv w:val="1"/>
      <w:marLeft w:val="0"/>
      <w:marRight w:val="0"/>
      <w:marTop w:val="0"/>
      <w:marBottom w:val="0"/>
      <w:divBdr>
        <w:top w:val="none" w:sz="0" w:space="0" w:color="auto"/>
        <w:left w:val="none" w:sz="0" w:space="0" w:color="auto"/>
        <w:bottom w:val="none" w:sz="0" w:space="0" w:color="auto"/>
        <w:right w:val="none" w:sz="0" w:space="0" w:color="auto"/>
      </w:divBdr>
      <w:divsChild>
        <w:div w:id="22364916">
          <w:marLeft w:val="1066"/>
          <w:marRight w:val="187"/>
          <w:marTop w:val="0"/>
          <w:marBottom w:val="0"/>
          <w:divBdr>
            <w:top w:val="none" w:sz="0" w:space="0" w:color="auto"/>
            <w:left w:val="none" w:sz="0" w:space="0" w:color="auto"/>
            <w:bottom w:val="none" w:sz="0" w:space="0" w:color="auto"/>
            <w:right w:val="none" w:sz="0" w:space="0" w:color="auto"/>
          </w:divBdr>
        </w:div>
        <w:div w:id="208882081">
          <w:marLeft w:val="1598"/>
          <w:marRight w:val="187"/>
          <w:marTop w:val="0"/>
          <w:marBottom w:val="0"/>
          <w:divBdr>
            <w:top w:val="none" w:sz="0" w:space="0" w:color="auto"/>
            <w:left w:val="none" w:sz="0" w:space="0" w:color="auto"/>
            <w:bottom w:val="none" w:sz="0" w:space="0" w:color="auto"/>
            <w:right w:val="none" w:sz="0" w:space="0" w:color="auto"/>
          </w:divBdr>
        </w:div>
        <w:div w:id="256014421">
          <w:marLeft w:val="533"/>
          <w:marRight w:val="0"/>
          <w:marTop w:val="240"/>
          <w:marBottom w:val="0"/>
          <w:divBdr>
            <w:top w:val="none" w:sz="0" w:space="0" w:color="auto"/>
            <w:left w:val="none" w:sz="0" w:space="0" w:color="auto"/>
            <w:bottom w:val="none" w:sz="0" w:space="0" w:color="auto"/>
            <w:right w:val="none" w:sz="0" w:space="0" w:color="auto"/>
          </w:divBdr>
        </w:div>
        <w:div w:id="333150695">
          <w:marLeft w:val="1598"/>
          <w:marRight w:val="187"/>
          <w:marTop w:val="0"/>
          <w:marBottom w:val="0"/>
          <w:divBdr>
            <w:top w:val="none" w:sz="0" w:space="0" w:color="auto"/>
            <w:left w:val="none" w:sz="0" w:space="0" w:color="auto"/>
            <w:bottom w:val="none" w:sz="0" w:space="0" w:color="auto"/>
            <w:right w:val="none" w:sz="0" w:space="0" w:color="auto"/>
          </w:divBdr>
        </w:div>
      </w:divsChild>
    </w:div>
    <w:div w:id="1330713708">
      <w:bodyDiv w:val="1"/>
      <w:marLeft w:val="0"/>
      <w:marRight w:val="0"/>
      <w:marTop w:val="0"/>
      <w:marBottom w:val="0"/>
      <w:divBdr>
        <w:top w:val="none" w:sz="0" w:space="0" w:color="auto"/>
        <w:left w:val="none" w:sz="0" w:space="0" w:color="auto"/>
        <w:bottom w:val="none" w:sz="0" w:space="0" w:color="auto"/>
        <w:right w:val="none" w:sz="0" w:space="0" w:color="auto"/>
      </w:divBdr>
    </w:div>
    <w:div w:id="1338383961">
      <w:bodyDiv w:val="1"/>
      <w:marLeft w:val="0"/>
      <w:marRight w:val="0"/>
      <w:marTop w:val="0"/>
      <w:marBottom w:val="0"/>
      <w:divBdr>
        <w:top w:val="none" w:sz="0" w:space="0" w:color="auto"/>
        <w:left w:val="none" w:sz="0" w:space="0" w:color="auto"/>
        <w:bottom w:val="none" w:sz="0" w:space="0" w:color="auto"/>
        <w:right w:val="none" w:sz="0" w:space="0" w:color="auto"/>
      </w:divBdr>
    </w:div>
    <w:div w:id="1391534329">
      <w:bodyDiv w:val="1"/>
      <w:marLeft w:val="0"/>
      <w:marRight w:val="0"/>
      <w:marTop w:val="0"/>
      <w:marBottom w:val="0"/>
      <w:divBdr>
        <w:top w:val="none" w:sz="0" w:space="0" w:color="auto"/>
        <w:left w:val="none" w:sz="0" w:space="0" w:color="auto"/>
        <w:bottom w:val="none" w:sz="0" w:space="0" w:color="auto"/>
        <w:right w:val="none" w:sz="0" w:space="0" w:color="auto"/>
      </w:divBdr>
      <w:divsChild>
        <w:div w:id="1652562397">
          <w:marLeft w:val="720"/>
          <w:marRight w:val="0"/>
          <w:marTop w:val="0"/>
          <w:marBottom w:val="0"/>
          <w:divBdr>
            <w:top w:val="none" w:sz="0" w:space="0" w:color="auto"/>
            <w:left w:val="none" w:sz="0" w:space="0" w:color="auto"/>
            <w:bottom w:val="none" w:sz="0" w:space="0" w:color="auto"/>
            <w:right w:val="none" w:sz="0" w:space="0" w:color="auto"/>
          </w:divBdr>
        </w:div>
      </w:divsChild>
    </w:div>
    <w:div w:id="1429231442">
      <w:bodyDiv w:val="1"/>
      <w:marLeft w:val="0"/>
      <w:marRight w:val="0"/>
      <w:marTop w:val="0"/>
      <w:marBottom w:val="0"/>
      <w:divBdr>
        <w:top w:val="none" w:sz="0" w:space="0" w:color="auto"/>
        <w:left w:val="none" w:sz="0" w:space="0" w:color="auto"/>
        <w:bottom w:val="none" w:sz="0" w:space="0" w:color="auto"/>
        <w:right w:val="none" w:sz="0" w:space="0" w:color="auto"/>
      </w:divBdr>
      <w:divsChild>
        <w:div w:id="624582016">
          <w:marLeft w:val="533"/>
          <w:marRight w:val="0"/>
          <w:marTop w:val="0"/>
          <w:marBottom w:val="240"/>
          <w:divBdr>
            <w:top w:val="none" w:sz="0" w:space="0" w:color="auto"/>
            <w:left w:val="none" w:sz="0" w:space="0" w:color="auto"/>
            <w:bottom w:val="none" w:sz="0" w:space="0" w:color="auto"/>
            <w:right w:val="none" w:sz="0" w:space="0" w:color="auto"/>
          </w:divBdr>
        </w:div>
        <w:div w:id="1747847344">
          <w:marLeft w:val="533"/>
          <w:marRight w:val="0"/>
          <w:marTop w:val="0"/>
          <w:marBottom w:val="240"/>
          <w:divBdr>
            <w:top w:val="none" w:sz="0" w:space="0" w:color="auto"/>
            <w:left w:val="none" w:sz="0" w:space="0" w:color="auto"/>
            <w:bottom w:val="none" w:sz="0" w:space="0" w:color="auto"/>
            <w:right w:val="none" w:sz="0" w:space="0" w:color="auto"/>
          </w:divBdr>
        </w:div>
      </w:divsChild>
    </w:div>
    <w:div w:id="1431512711">
      <w:bodyDiv w:val="1"/>
      <w:marLeft w:val="0"/>
      <w:marRight w:val="0"/>
      <w:marTop w:val="0"/>
      <w:marBottom w:val="0"/>
      <w:divBdr>
        <w:top w:val="none" w:sz="0" w:space="0" w:color="auto"/>
        <w:left w:val="none" w:sz="0" w:space="0" w:color="auto"/>
        <w:bottom w:val="none" w:sz="0" w:space="0" w:color="auto"/>
        <w:right w:val="none" w:sz="0" w:space="0" w:color="auto"/>
      </w:divBdr>
      <w:divsChild>
        <w:div w:id="1280456193">
          <w:marLeft w:val="720"/>
          <w:marRight w:val="0"/>
          <w:marTop w:val="0"/>
          <w:marBottom w:val="0"/>
          <w:divBdr>
            <w:top w:val="none" w:sz="0" w:space="0" w:color="auto"/>
            <w:left w:val="none" w:sz="0" w:space="0" w:color="auto"/>
            <w:bottom w:val="none" w:sz="0" w:space="0" w:color="auto"/>
            <w:right w:val="none" w:sz="0" w:space="0" w:color="auto"/>
          </w:divBdr>
        </w:div>
      </w:divsChild>
    </w:div>
    <w:div w:id="1484783864">
      <w:bodyDiv w:val="1"/>
      <w:marLeft w:val="0"/>
      <w:marRight w:val="0"/>
      <w:marTop w:val="0"/>
      <w:marBottom w:val="0"/>
      <w:divBdr>
        <w:top w:val="none" w:sz="0" w:space="0" w:color="auto"/>
        <w:left w:val="none" w:sz="0" w:space="0" w:color="auto"/>
        <w:bottom w:val="none" w:sz="0" w:space="0" w:color="auto"/>
        <w:right w:val="none" w:sz="0" w:space="0" w:color="auto"/>
      </w:divBdr>
      <w:divsChild>
        <w:div w:id="1070881616">
          <w:marLeft w:val="1066"/>
          <w:marRight w:val="0"/>
          <w:marTop w:val="240"/>
          <w:marBottom w:val="0"/>
          <w:divBdr>
            <w:top w:val="none" w:sz="0" w:space="0" w:color="auto"/>
            <w:left w:val="none" w:sz="0" w:space="0" w:color="auto"/>
            <w:bottom w:val="none" w:sz="0" w:space="0" w:color="auto"/>
            <w:right w:val="none" w:sz="0" w:space="0" w:color="auto"/>
          </w:divBdr>
        </w:div>
        <w:div w:id="1395934832">
          <w:marLeft w:val="533"/>
          <w:marRight w:val="0"/>
          <w:marTop w:val="240"/>
          <w:marBottom w:val="0"/>
          <w:divBdr>
            <w:top w:val="none" w:sz="0" w:space="0" w:color="auto"/>
            <w:left w:val="none" w:sz="0" w:space="0" w:color="auto"/>
            <w:bottom w:val="none" w:sz="0" w:space="0" w:color="auto"/>
            <w:right w:val="none" w:sz="0" w:space="0" w:color="auto"/>
          </w:divBdr>
        </w:div>
        <w:div w:id="1439330653">
          <w:marLeft w:val="533"/>
          <w:marRight w:val="0"/>
          <w:marTop w:val="240"/>
          <w:marBottom w:val="0"/>
          <w:divBdr>
            <w:top w:val="none" w:sz="0" w:space="0" w:color="auto"/>
            <w:left w:val="none" w:sz="0" w:space="0" w:color="auto"/>
            <w:bottom w:val="none" w:sz="0" w:space="0" w:color="auto"/>
            <w:right w:val="none" w:sz="0" w:space="0" w:color="auto"/>
          </w:divBdr>
        </w:div>
        <w:div w:id="1468546351">
          <w:marLeft w:val="1066"/>
          <w:marRight w:val="0"/>
          <w:marTop w:val="240"/>
          <w:marBottom w:val="0"/>
          <w:divBdr>
            <w:top w:val="none" w:sz="0" w:space="0" w:color="auto"/>
            <w:left w:val="none" w:sz="0" w:space="0" w:color="auto"/>
            <w:bottom w:val="none" w:sz="0" w:space="0" w:color="auto"/>
            <w:right w:val="none" w:sz="0" w:space="0" w:color="auto"/>
          </w:divBdr>
        </w:div>
      </w:divsChild>
    </w:div>
    <w:div w:id="1513454644">
      <w:bodyDiv w:val="1"/>
      <w:marLeft w:val="0"/>
      <w:marRight w:val="0"/>
      <w:marTop w:val="0"/>
      <w:marBottom w:val="0"/>
      <w:divBdr>
        <w:top w:val="none" w:sz="0" w:space="0" w:color="auto"/>
        <w:left w:val="none" w:sz="0" w:space="0" w:color="auto"/>
        <w:bottom w:val="none" w:sz="0" w:space="0" w:color="auto"/>
        <w:right w:val="none" w:sz="0" w:space="0" w:color="auto"/>
      </w:divBdr>
    </w:div>
    <w:div w:id="1520124387">
      <w:bodyDiv w:val="1"/>
      <w:marLeft w:val="0"/>
      <w:marRight w:val="0"/>
      <w:marTop w:val="0"/>
      <w:marBottom w:val="0"/>
      <w:divBdr>
        <w:top w:val="none" w:sz="0" w:space="0" w:color="auto"/>
        <w:left w:val="none" w:sz="0" w:space="0" w:color="auto"/>
        <w:bottom w:val="none" w:sz="0" w:space="0" w:color="auto"/>
        <w:right w:val="none" w:sz="0" w:space="0" w:color="auto"/>
      </w:divBdr>
    </w:div>
    <w:div w:id="1532765458">
      <w:bodyDiv w:val="1"/>
      <w:marLeft w:val="0"/>
      <w:marRight w:val="0"/>
      <w:marTop w:val="0"/>
      <w:marBottom w:val="0"/>
      <w:divBdr>
        <w:top w:val="none" w:sz="0" w:space="0" w:color="auto"/>
        <w:left w:val="none" w:sz="0" w:space="0" w:color="auto"/>
        <w:bottom w:val="none" w:sz="0" w:space="0" w:color="auto"/>
        <w:right w:val="none" w:sz="0" w:space="0" w:color="auto"/>
      </w:divBdr>
      <w:divsChild>
        <w:div w:id="1066877372">
          <w:marLeft w:val="1066"/>
          <w:marRight w:val="0"/>
          <w:marTop w:val="240"/>
          <w:marBottom w:val="0"/>
          <w:divBdr>
            <w:top w:val="none" w:sz="0" w:space="0" w:color="auto"/>
            <w:left w:val="none" w:sz="0" w:space="0" w:color="auto"/>
            <w:bottom w:val="none" w:sz="0" w:space="0" w:color="auto"/>
            <w:right w:val="none" w:sz="0" w:space="0" w:color="auto"/>
          </w:divBdr>
        </w:div>
      </w:divsChild>
    </w:div>
    <w:div w:id="1665474675">
      <w:bodyDiv w:val="1"/>
      <w:marLeft w:val="0"/>
      <w:marRight w:val="0"/>
      <w:marTop w:val="0"/>
      <w:marBottom w:val="0"/>
      <w:divBdr>
        <w:top w:val="none" w:sz="0" w:space="0" w:color="auto"/>
        <w:left w:val="none" w:sz="0" w:space="0" w:color="auto"/>
        <w:bottom w:val="none" w:sz="0" w:space="0" w:color="auto"/>
        <w:right w:val="none" w:sz="0" w:space="0" w:color="auto"/>
      </w:divBdr>
    </w:div>
    <w:div w:id="1689137340">
      <w:bodyDiv w:val="1"/>
      <w:marLeft w:val="0"/>
      <w:marRight w:val="0"/>
      <w:marTop w:val="0"/>
      <w:marBottom w:val="0"/>
      <w:divBdr>
        <w:top w:val="none" w:sz="0" w:space="0" w:color="auto"/>
        <w:left w:val="none" w:sz="0" w:space="0" w:color="auto"/>
        <w:bottom w:val="none" w:sz="0" w:space="0" w:color="auto"/>
        <w:right w:val="none" w:sz="0" w:space="0" w:color="auto"/>
      </w:divBdr>
    </w:div>
    <w:div w:id="1727140234">
      <w:bodyDiv w:val="1"/>
      <w:marLeft w:val="0"/>
      <w:marRight w:val="0"/>
      <w:marTop w:val="0"/>
      <w:marBottom w:val="0"/>
      <w:divBdr>
        <w:top w:val="none" w:sz="0" w:space="0" w:color="auto"/>
        <w:left w:val="none" w:sz="0" w:space="0" w:color="auto"/>
        <w:bottom w:val="none" w:sz="0" w:space="0" w:color="auto"/>
        <w:right w:val="none" w:sz="0" w:space="0" w:color="auto"/>
      </w:divBdr>
    </w:div>
    <w:div w:id="1737825213">
      <w:bodyDiv w:val="1"/>
      <w:marLeft w:val="0"/>
      <w:marRight w:val="0"/>
      <w:marTop w:val="0"/>
      <w:marBottom w:val="0"/>
      <w:divBdr>
        <w:top w:val="none" w:sz="0" w:space="0" w:color="auto"/>
        <w:left w:val="none" w:sz="0" w:space="0" w:color="auto"/>
        <w:bottom w:val="none" w:sz="0" w:space="0" w:color="auto"/>
        <w:right w:val="none" w:sz="0" w:space="0" w:color="auto"/>
      </w:divBdr>
      <w:divsChild>
        <w:div w:id="1612742177">
          <w:marLeft w:val="720"/>
          <w:marRight w:val="0"/>
          <w:marTop w:val="0"/>
          <w:marBottom w:val="0"/>
          <w:divBdr>
            <w:top w:val="none" w:sz="0" w:space="0" w:color="auto"/>
            <w:left w:val="none" w:sz="0" w:space="0" w:color="auto"/>
            <w:bottom w:val="none" w:sz="0" w:space="0" w:color="auto"/>
            <w:right w:val="none" w:sz="0" w:space="0" w:color="auto"/>
          </w:divBdr>
        </w:div>
        <w:div w:id="1820417165">
          <w:marLeft w:val="720"/>
          <w:marRight w:val="0"/>
          <w:marTop w:val="0"/>
          <w:marBottom w:val="0"/>
          <w:divBdr>
            <w:top w:val="none" w:sz="0" w:space="0" w:color="auto"/>
            <w:left w:val="none" w:sz="0" w:space="0" w:color="auto"/>
            <w:bottom w:val="none" w:sz="0" w:space="0" w:color="auto"/>
            <w:right w:val="none" w:sz="0" w:space="0" w:color="auto"/>
          </w:divBdr>
        </w:div>
      </w:divsChild>
    </w:div>
    <w:div w:id="1833252518">
      <w:bodyDiv w:val="1"/>
      <w:marLeft w:val="0"/>
      <w:marRight w:val="0"/>
      <w:marTop w:val="0"/>
      <w:marBottom w:val="0"/>
      <w:divBdr>
        <w:top w:val="none" w:sz="0" w:space="0" w:color="auto"/>
        <w:left w:val="none" w:sz="0" w:space="0" w:color="auto"/>
        <w:bottom w:val="none" w:sz="0" w:space="0" w:color="auto"/>
        <w:right w:val="none" w:sz="0" w:space="0" w:color="auto"/>
      </w:divBdr>
    </w:div>
    <w:div w:id="1837183393">
      <w:bodyDiv w:val="1"/>
      <w:marLeft w:val="0"/>
      <w:marRight w:val="0"/>
      <w:marTop w:val="0"/>
      <w:marBottom w:val="0"/>
      <w:divBdr>
        <w:top w:val="none" w:sz="0" w:space="0" w:color="auto"/>
        <w:left w:val="none" w:sz="0" w:space="0" w:color="auto"/>
        <w:bottom w:val="none" w:sz="0" w:space="0" w:color="auto"/>
        <w:right w:val="none" w:sz="0" w:space="0" w:color="auto"/>
      </w:divBdr>
    </w:div>
    <w:div w:id="1959217330">
      <w:bodyDiv w:val="1"/>
      <w:marLeft w:val="0"/>
      <w:marRight w:val="0"/>
      <w:marTop w:val="0"/>
      <w:marBottom w:val="0"/>
      <w:divBdr>
        <w:top w:val="none" w:sz="0" w:space="0" w:color="auto"/>
        <w:left w:val="none" w:sz="0" w:space="0" w:color="auto"/>
        <w:bottom w:val="none" w:sz="0" w:space="0" w:color="auto"/>
        <w:right w:val="none" w:sz="0" w:space="0" w:color="auto"/>
      </w:divBdr>
    </w:div>
    <w:div w:id="2059431131">
      <w:bodyDiv w:val="1"/>
      <w:marLeft w:val="0"/>
      <w:marRight w:val="0"/>
      <w:marTop w:val="0"/>
      <w:marBottom w:val="0"/>
      <w:divBdr>
        <w:top w:val="none" w:sz="0" w:space="0" w:color="auto"/>
        <w:left w:val="none" w:sz="0" w:space="0" w:color="auto"/>
        <w:bottom w:val="none" w:sz="0" w:space="0" w:color="auto"/>
        <w:right w:val="none" w:sz="0" w:space="0" w:color="auto"/>
      </w:divBdr>
    </w:div>
    <w:div w:id="2135055296">
      <w:bodyDiv w:val="1"/>
      <w:marLeft w:val="0"/>
      <w:marRight w:val="0"/>
      <w:marTop w:val="0"/>
      <w:marBottom w:val="0"/>
      <w:divBdr>
        <w:top w:val="none" w:sz="0" w:space="0" w:color="auto"/>
        <w:left w:val="none" w:sz="0" w:space="0" w:color="auto"/>
        <w:bottom w:val="none" w:sz="0" w:space="0" w:color="auto"/>
        <w:right w:val="none" w:sz="0" w:space="0" w:color="auto"/>
      </w:divBdr>
      <w:divsChild>
        <w:div w:id="837304214">
          <w:marLeft w:val="533"/>
          <w:marRight w:val="0"/>
          <w:marTop w:val="240"/>
          <w:marBottom w:val="0"/>
          <w:divBdr>
            <w:top w:val="none" w:sz="0" w:space="0" w:color="auto"/>
            <w:left w:val="none" w:sz="0" w:space="0" w:color="auto"/>
            <w:bottom w:val="none" w:sz="0" w:space="0" w:color="auto"/>
            <w:right w:val="none" w:sz="0" w:space="0" w:color="auto"/>
          </w:divBdr>
        </w:div>
        <w:div w:id="1361709946">
          <w:marLeft w:val="533"/>
          <w:marRight w:val="0"/>
          <w:marTop w:val="240"/>
          <w:marBottom w:val="0"/>
          <w:divBdr>
            <w:top w:val="none" w:sz="0" w:space="0" w:color="auto"/>
            <w:left w:val="none" w:sz="0" w:space="0" w:color="auto"/>
            <w:bottom w:val="none" w:sz="0" w:space="0" w:color="auto"/>
            <w:right w:val="none" w:sz="0" w:space="0" w:color="auto"/>
          </w:divBdr>
        </w:div>
        <w:div w:id="1907765738">
          <w:marLeft w:val="533"/>
          <w:marRight w:val="0"/>
          <w:marTop w:val="240"/>
          <w:marBottom w:val="0"/>
          <w:divBdr>
            <w:top w:val="none" w:sz="0" w:space="0" w:color="auto"/>
            <w:left w:val="none" w:sz="0" w:space="0" w:color="auto"/>
            <w:bottom w:val="none" w:sz="0" w:space="0" w:color="auto"/>
            <w:right w:val="none" w:sz="0" w:space="0" w:color="auto"/>
          </w:divBdr>
        </w:div>
      </w:divsChild>
    </w:div>
    <w:div w:id="21357541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yperlink" Target="https://www.ncdhhs.gov/about/administrative-offices/office-secretary/nc-olmstea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AC 2020 Digital">
      <a:dk1>
        <a:srgbClr val="000000"/>
      </a:dk1>
      <a:lt1>
        <a:srgbClr val="FFFFFF"/>
      </a:lt1>
      <a:dk2>
        <a:srgbClr val="041E41"/>
      </a:dk2>
      <a:lt2>
        <a:srgbClr val="FEFFFF"/>
      </a:lt2>
      <a:accent1>
        <a:srgbClr val="041E41"/>
      </a:accent1>
      <a:accent2>
        <a:srgbClr val="007FAA"/>
      </a:accent2>
      <a:accent3>
        <a:srgbClr val="22A9D0"/>
      </a:accent3>
      <a:accent4>
        <a:srgbClr val="FD6136"/>
      </a:accent4>
      <a:accent5>
        <a:srgbClr val="FBD15E"/>
      </a:accent5>
      <a:accent6>
        <a:srgbClr val="ACBB00"/>
      </a:accent6>
      <a:hlink>
        <a:srgbClr val="041E41"/>
      </a:hlink>
      <a:folHlink>
        <a:srgbClr val="041E41"/>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A705A8B0C4A94FB146ED45655D7D67" ma:contentTypeVersion="11" ma:contentTypeDescription="Create a new document." ma:contentTypeScope="" ma:versionID="ec4a2f10aab11bb8e1d4f4c53fda2bd1">
  <xsd:schema xmlns:xsd="http://www.w3.org/2001/XMLSchema" xmlns:xs="http://www.w3.org/2001/XMLSchema" xmlns:p="http://schemas.microsoft.com/office/2006/metadata/properties" xmlns:ns3="1e5a6c79-20c3-48a3-a06e-694024c5317a" targetNamespace="http://schemas.microsoft.com/office/2006/metadata/properties" ma:root="true" ma:fieldsID="ce3dccf5b24ae2675f47deaf39d2673b" ns3:_="">
    <xsd:import namespace="1e5a6c79-20c3-48a3-a06e-694024c5317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a6c79-20c3-48a3-a06e-694024c531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5A44DC-B59E-476B-B4B2-99CB85EE2E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a6c79-20c3-48a3-a06e-694024c531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85B1CA-51A7-4B2F-B376-5AA05D06CA65}">
  <ds:schemaRefs>
    <ds:schemaRef ds:uri="http://schemas.microsoft.com/sharepoint/v3/contenttype/forms"/>
  </ds:schemaRefs>
</ds:datastoreItem>
</file>

<file path=customXml/itemProps4.xml><?xml version="1.0" encoding="utf-8"?>
<ds:datastoreItem xmlns:ds="http://schemas.openxmlformats.org/officeDocument/2006/customXml" ds:itemID="{74CAC368-0C98-4E8D-BDEE-93D3B3ECE50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139BBEC-4C2C-4703-AE93-0203BBE35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3867</Words>
  <Characters>21579</Characters>
  <Application>Microsoft Office Word</Application>
  <DocSecurity>0</DocSecurity>
  <Lines>348</Lines>
  <Paragraphs>94</Paragraphs>
  <ScaleCrop>false</ScaleCrop>
  <HeadingPairs>
    <vt:vector size="2" baseType="variant">
      <vt:variant>
        <vt:lpstr>Title</vt:lpstr>
      </vt:variant>
      <vt:variant>
        <vt:i4>1</vt:i4>
      </vt:variant>
    </vt:vector>
  </HeadingPairs>
  <TitlesOfParts>
    <vt:vector size="1" baseType="lpstr">
      <vt:lpstr>North Carolina Olmstead Plan Implementation</vt:lpstr>
    </vt:vector>
  </TitlesOfParts>
  <Company>Technical Assistance Collaborative</Company>
  <LinksUpToDate>false</LinksUpToDate>
  <CharactersWithSpaces>25352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Implementación del Plan Olmstead de Carolina del Norte</dc:title>
  <dc:subject>Informe resumido: del 1 de abril al 30 de junio de 2024</dc:subject>
  <dc:creator>Rebecca Boss and Megan Lee, consultoras de Servicios Humanos</dc:creator>
  <cp:keywords/>
  <dc:description/>
  <cp:lastModifiedBy>Cunille, Jezica</cp:lastModifiedBy>
  <cp:revision>3</cp:revision>
  <cp:lastPrinted>2023-02-16T19:42:00Z</cp:lastPrinted>
  <dcterms:created xsi:type="dcterms:W3CDTF">2026-03-06T19:11:00Z</dcterms:created>
  <dcterms:modified xsi:type="dcterms:W3CDTF">2026-03-06T19:11:00Z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0x0101001EA705A8B0C4A94FB146ED45655D7D67</vt:lpwstr>
  </property>
</Properties>
</file>