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90062" w14:textId="1D141C40" w:rsidR="000745FA" w:rsidRPr="000745FA" w:rsidRDefault="000745FA" w:rsidP="000745F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September 23, 2024</w:t>
      </w:r>
    </w:p>
    <w:p w14:paraId="08307058" w14:textId="77777777" w:rsidR="000745FA" w:rsidRPr="000745FA" w:rsidRDefault="000745FA" w:rsidP="000745FA">
      <w:pPr>
        <w:pStyle w:val="BodyText"/>
        <w:spacing w:before="91"/>
        <w:rPr>
          <w:w w:val="105"/>
          <w:sz w:val="22"/>
          <w:szCs w:val="22"/>
        </w:rPr>
      </w:pPr>
    </w:p>
    <w:p w14:paraId="4552910C" w14:textId="77777777" w:rsidR="000745FA" w:rsidRPr="000745FA" w:rsidRDefault="000745FA" w:rsidP="000745FA">
      <w:pPr>
        <w:pStyle w:val="BodyText"/>
        <w:spacing w:before="91"/>
        <w:rPr>
          <w:w w:val="105"/>
          <w:sz w:val="22"/>
          <w:szCs w:val="22"/>
        </w:rPr>
      </w:pPr>
      <w:r w:rsidRPr="000745FA">
        <w:rPr>
          <w:w w:val="105"/>
          <w:sz w:val="22"/>
          <w:szCs w:val="22"/>
        </w:rPr>
        <w:t>To</w:t>
      </w:r>
      <w:r w:rsidRPr="000745FA">
        <w:rPr>
          <w:spacing w:val="-4"/>
          <w:w w:val="105"/>
          <w:sz w:val="22"/>
          <w:szCs w:val="22"/>
        </w:rPr>
        <w:t xml:space="preserve"> </w:t>
      </w:r>
      <w:r w:rsidRPr="000745FA">
        <w:rPr>
          <w:w w:val="105"/>
          <w:sz w:val="22"/>
          <w:szCs w:val="22"/>
        </w:rPr>
        <w:t>Whom</w:t>
      </w:r>
      <w:r w:rsidRPr="000745FA">
        <w:rPr>
          <w:spacing w:val="-3"/>
          <w:w w:val="105"/>
          <w:sz w:val="22"/>
          <w:szCs w:val="22"/>
        </w:rPr>
        <w:t xml:space="preserve"> </w:t>
      </w:r>
      <w:r w:rsidRPr="000745FA">
        <w:rPr>
          <w:w w:val="105"/>
          <w:sz w:val="22"/>
          <w:szCs w:val="22"/>
        </w:rPr>
        <w:t>It</w:t>
      </w:r>
      <w:r w:rsidRPr="000745FA">
        <w:rPr>
          <w:spacing w:val="1"/>
          <w:w w:val="105"/>
          <w:sz w:val="22"/>
          <w:szCs w:val="22"/>
        </w:rPr>
        <w:t xml:space="preserve"> </w:t>
      </w:r>
      <w:r w:rsidRPr="000745FA">
        <w:rPr>
          <w:w w:val="105"/>
          <w:sz w:val="22"/>
          <w:szCs w:val="22"/>
        </w:rPr>
        <w:t>May</w:t>
      </w:r>
      <w:r w:rsidRPr="000745FA">
        <w:rPr>
          <w:spacing w:val="-5"/>
          <w:w w:val="105"/>
          <w:sz w:val="22"/>
          <w:szCs w:val="22"/>
        </w:rPr>
        <w:t xml:space="preserve"> </w:t>
      </w:r>
      <w:r w:rsidRPr="000745FA">
        <w:rPr>
          <w:w w:val="105"/>
          <w:sz w:val="22"/>
          <w:szCs w:val="22"/>
        </w:rPr>
        <w:t>Concern:</w:t>
      </w:r>
    </w:p>
    <w:p w14:paraId="0B93523A" w14:textId="77777777" w:rsidR="000745FA" w:rsidRPr="000745FA" w:rsidRDefault="000745FA" w:rsidP="000745FA">
      <w:pPr>
        <w:pStyle w:val="BodyText"/>
        <w:spacing w:before="11"/>
        <w:rPr>
          <w:sz w:val="22"/>
          <w:szCs w:val="22"/>
        </w:rPr>
      </w:pPr>
    </w:p>
    <w:p w14:paraId="690D9530" w14:textId="77777777" w:rsidR="00AE4EFC" w:rsidRDefault="00330A52" w:rsidP="000745FA">
      <w:pPr>
        <w:pStyle w:val="BodyText"/>
        <w:spacing w:line="249" w:lineRule="auto"/>
        <w:ind w:right="862"/>
        <w:rPr>
          <w:w w:val="105"/>
          <w:sz w:val="22"/>
          <w:szCs w:val="22"/>
        </w:rPr>
      </w:pPr>
      <w:r w:rsidRPr="00330A52">
        <w:rPr>
          <w:w w:val="105"/>
          <w:sz w:val="22"/>
          <w:szCs w:val="22"/>
        </w:rPr>
        <w:t>The Transitions to Community Living (TCL)</w:t>
      </w:r>
      <w:r w:rsidR="00AE4EFC">
        <w:rPr>
          <w:w w:val="105"/>
          <w:sz w:val="22"/>
          <w:szCs w:val="22"/>
        </w:rPr>
        <w:t xml:space="preserve"> program</w:t>
      </w:r>
      <w:r w:rsidRPr="00330A52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 xml:space="preserve">was created to meet a settlement agreement between the </w:t>
      </w:r>
      <w:r w:rsidRPr="00330A52">
        <w:rPr>
          <w:w w:val="105"/>
          <w:sz w:val="22"/>
          <w:szCs w:val="22"/>
        </w:rPr>
        <w:t xml:space="preserve">North Carolina Department of Health Human Services (NCDHHS) </w:t>
      </w:r>
      <w:r w:rsidR="00AE4EFC">
        <w:rPr>
          <w:w w:val="105"/>
          <w:sz w:val="22"/>
          <w:szCs w:val="22"/>
        </w:rPr>
        <w:t>and the</w:t>
      </w:r>
      <w:r w:rsidRPr="00330A52">
        <w:rPr>
          <w:w w:val="105"/>
          <w:sz w:val="22"/>
          <w:szCs w:val="22"/>
        </w:rPr>
        <w:t xml:space="preserve"> United States Department of Justi</w:t>
      </w:r>
      <w:r w:rsidR="00AE4EFC">
        <w:rPr>
          <w:w w:val="105"/>
          <w:sz w:val="22"/>
          <w:szCs w:val="22"/>
        </w:rPr>
        <w:t>ce</w:t>
      </w:r>
      <w:r w:rsidRPr="00330A52">
        <w:rPr>
          <w:w w:val="105"/>
          <w:sz w:val="22"/>
          <w:szCs w:val="22"/>
        </w:rPr>
        <w:t xml:space="preserve"> </w:t>
      </w:r>
      <w:r w:rsidR="00AE4EFC">
        <w:rPr>
          <w:w w:val="105"/>
          <w:sz w:val="22"/>
          <w:szCs w:val="22"/>
        </w:rPr>
        <w:t xml:space="preserve">to ensure that </w:t>
      </w:r>
      <w:r w:rsidRPr="00330A52">
        <w:rPr>
          <w:w w:val="105"/>
          <w:sz w:val="22"/>
          <w:szCs w:val="22"/>
        </w:rPr>
        <w:t xml:space="preserve">eligible adults living with serious mental illnesses </w:t>
      </w:r>
      <w:r w:rsidR="00AE4EFC">
        <w:rPr>
          <w:w w:val="105"/>
          <w:sz w:val="22"/>
          <w:szCs w:val="22"/>
        </w:rPr>
        <w:t xml:space="preserve">had the </w:t>
      </w:r>
      <w:r w:rsidRPr="00330A52">
        <w:rPr>
          <w:w w:val="105"/>
          <w:sz w:val="22"/>
          <w:szCs w:val="22"/>
        </w:rPr>
        <w:t>opportunity</w:t>
      </w:r>
      <w:r w:rsidR="00AE4EFC">
        <w:rPr>
          <w:w w:val="105"/>
          <w:sz w:val="22"/>
          <w:szCs w:val="22"/>
        </w:rPr>
        <w:t xml:space="preserve"> to live in the </w:t>
      </w:r>
      <w:r w:rsidR="00AE4EFC">
        <w:t>least restrictive settings of their choice</w:t>
      </w:r>
      <w:r w:rsidRPr="00330A52">
        <w:rPr>
          <w:w w:val="105"/>
          <w:sz w:val="22"/>
          <w:szCs w:val="22"/>
        </w:rPr>
        <w:t>.</w:t>
      </w:r>
    </w:p>
    <w:p w14:paraId="2FB312DD" w14:textId="77777777" w:rsidR="00AE4EFC" w:rsidRPr="00AE4EFC" w:rsidRDefault="00AE4EFC" w:rsidP="000745FA">
      <w:pPr>
        <w:pStyle w:val="BodyText"/>
        <w:spacing w:line="249" w:lineRule="auto"/>
        <w:ind w:right="862"/>
        <w:rPr>
          <w:w w:val="105"/>
          <w:sz w:val="22"/>
          <w:szCs w:val="22"/>
        </w:rPr>
      </w:pPr>
    </w:p>
    <w:p w14:paraId="2DC63EE2" w14:textId="7C2CC812" w:rsidR="000745FA" w:rsidRPr="00AE4EFC" w:rsidRDefault="00AE4EFC" w:rsidP="000745FA">
      <w:pPr>
        <w:pStyle w:val="BodyText"/>
        <w:spacing w:line="249" w:lineRule="auto"/>
        <w:ind w:right="862"/>
        <w:rPr>
          <w:sz w:val="22"/>
          <w:szCs w:val="22"/>
        </w:rPr>
      </w:pPr>
      <w:r w:rsidRPr="00AE4EFC">
        <w:rPr>
          <w:w w:val="105"/>
          <w:sz w:val="22"/>
          <w:szCs w:val="22"/>
        </w:rPr>
        <w:t>The</w:t>
      </w:r>
      <w:r w:rsidR="000745FA" w:rsidRPr="00AE4EFC">
        <w:rPr>
          <w:w w:val="105"/>
          <w:sz w:val="22"/>
          <w:szCs w:val="22"/>
        </w:rPr>
        <w:t xml:space="preserve"> Tailored Plans</w:t>
      </w:r>
      <w:r w:rsidRPr="00AE4EFC">
        <w:rPr>
          <w:w w:val="105"/>
          <w:sz w:val="22"/>
          <w:szCs w:val="22"/>
        </w:rPr>
        <w:t xml:space="preserve">, or </w:t>
      </w:r>
      <w:r w:rsidR="000745FA" w:rsidRPr="00AE4EFC">
        <w:rPr>
          <w:sz w:val="22"/>
          <w:szCs w:val="22"/>
        </w:rPr>
        <w:t>LME/ MCOs</w:t>
      </w:r>
      <w:r w:rsidRPr="00AE4EFC">
        <w:rPr>
          <w:sz w:val="22"/>
          <w:szCs w:val="22"/>
        </w:rPr>
        <w:t>,</w:t>
      </w:r>
      <w:r w:rsidR="000745FA" w:rsidRPr="00AE4EFC">
        <w:rPr>
          <w:spacing w:val="1"/>
          <w:sz w:val="22"/>
          <w:szCs w:val="22"/>
        </w:rPr>
        <w:t xml:space="preserve"> </w:t>
      </w:r>
      <w:r w:rsidR="000745FA" w:rsidRPr="00AE4EFC">
        <w:rPr>
          <w:sz w:val="22"/>
          <w:szCs w:val="22"/>
        </w:rPr>
        <w:t>provid</w:t>
      </w:r>
      <w:r w:rsidR="00330A52" w:rsidRPr="00AE4EFC">
        <w:rPr>
          <w:sz w:val="22"/>
          <w:szCs w:val="22"/>
        </w:rPr>
        <w:t>e</w:t>
      </w:r>
      <w:r w:rsidR="000745FA" w:rsidRPr="00AE4EFC">
        <w:rPr>
          <w:spacing w:val="1"/>
          <w:sz w:val="22"/>
          <w:szCs w:val="22"/>
        </w:rPr>
        <w:t xml:space="preserve"> education </w:t>
      </w:r>
      <w:r w:rsidR="00330A52" w:rsidRPr="00AE4EFC">
        <w:rPr>
          <w:spacing w:val="1"/>
          <w:sz w:val="22"/>
          <w:szCs w:val="22"/>
        </w:rPr>
        <w:t>through In Reach Specialists</w:t>
      </w:r>
      <w:r w:rsidR="000745FA" w:rsidRPr="00AE4EFC">
        <w:rPr>
          <w:spacing w:val="1"/>
          <w:sz w:val="22"/>
          <w:szCs w:val="22"/>
        </w:rPr>
        <w:t xml:space="preserve"> </w:t>
      </w:r>
      <w:r w:rsidR="000745FA" w:rsidRPr="00AE4EFC">
        <w:rPr>
          <w:sz w:val="22"/>
          <w:szCs w:val="22"/>
        </w:rPr>
        <w:t>to individuals</w:t>
      </w:r>
      <w:r w:rsidR="000745FA" w:rsidRPr="00AE4EFC">
        <w:rPr>
          <w:spacing w:val="1"/>
          <w:sz w:val="22"/>
          <w:szCs w:val="22"/>
        </w:rPr>
        <w:t xml:space="preserve"> </w:t>
      </w:r>
      <w:r w:rsidR="000745FA" w:rsidRPr="00AE4EFC">
        <w:rPr>
          <w:sz w:val="22"/>
          <w:szCs w:val="22"/>
        </w:rPr>
        <w:t>living in Adult Care Homes and State Psychiatric Hospitals who qualify</w:t>
      </w:r>
      <w:r w:rsidR="000745FA" w:rsidRPr="00AE4EFC">
        <w:rPr>
          <w:w w:val="105"/>
          <w:sz w:val="22"/>
          <w:szCs w:val="22"/>
        </w:rPr>
        <w:t xml:space="preserve"> for TCL.</w:t>
      </w:r>
      <w:r w:rsidR="000745FA" w:rsidRPr="00AE4EFC">
        <w:rPr>
          <w:spacing w:val="1"/>
          <w:w w:val="105"/>
          <w:sz w:val="22"/>
          <w:szCs w:val="22"/>
        </w:rPr>
        <w:t xml:space="preserve">  </w:t>
      </w:r>
      <w:r w:rsidR="000745FA" w:rsidRPr="00AE4EFC">
        <w:rPr>
          <w:w w:val="105"/>
          <w:sz w:val="22"/>
          <w:szCs w:val="22"/>
        </w:rPr>
        <w:t xml:space="preserve">In-Reach </w:t>
      </w:r>
      <w:r w:rsidR="00330A52" w:rsidRPr="00AE4EFC">
        <w:rPr>
          <w:w w:val="105"/>
          <w:sz w:val="22"/>
          <w:szCs w:val="22"/>
        </w:rPr>
        <w:t xml:space="preserve">Specialists </w:t>
      </w:r>
      <w:r w:rsidR="000745FA" w:rsidRPr="00AE4EFC">
        <w:rPr>
          <w:w w:val="105"/>
          <w:sz w:val="22"/>
          <w:szCs w:val="22"/>
        </w:rPr>
        <w:t>provide information about</w:t>
      </w:r>
      <w:r w:rsidR="000745FA" w:rsidRPr="00AE4EFC">
        <w:rPr>
          <w:spacing w:val="1"/>
          <w:w w:val="105"/>
          <w:sz w:val="22"/>
          <w:szCs w:val="22"/>
        </w:rPr>
        <w:t xml:space="preserve"> the array of </w:t>
      </w:r>
      <w:r w:rsidR="000745FA" w:rsidRPr="00AE4EFC">
        <w:rPr>
          <w:spacing w:val="-1"/>
          <w:w w:val="105"/>
          <w:sz w:val="22"/>
          <w:szCs w:val="22"/>
        </w:rPr>
        <w:t>community-based services</w:t>
      </w:r>
      <w:r w:rsidR="000745FA" w:rsidRPr="00AE4EFC">
        <w:rPr>
          <w:spacing w:val="-4"/>
          <w:w w:val="105"/>
          <w:sz w:val="22"/>
          <w:szCs w:val="22"/>
        </w:rPr>
        <w:t xml:space="preserve"> </w:t>
      </w:r>
      <w:r w:rsidR="000745FA" w:rsidRPr="00AE4EFC">
        <w:rPr>
          <w:spacing w:val="-1"/>
          <w:w w:val="105"/>
          <w:sz w:val="22"/>
          <w:szCs w:val="22"/>
        </w:rPr>
        <w:t>and</w:t>
      </w:r>
      <w:r w:rsidR="000745FA" w:rsidRPr="00AE4EFC">
        <w:rPr>
          <w:spacing w:val="-5"/>
          <w:w w:val="105"/>
          <w:sz w:val="22"/>
          <w:szCs w:val="22"/>
        </w:rPr>
        <w:t xml:space="preserve"> </w:t>
      </w:r>
      <w:r w:rsidR="000745FA" w:rsidRPr="00AE4EFC">
        <w:rPr>
          <w:w w:val="105"/>
          <w:sz w:val="22"/>
          <w:szCs w:val="22"/>
        </w:rPr>
        <w:t>supports,</w:t>
      </w:r>
      <w:r w:rsidR="000745FA" w:rsidRPr="00AE4EFC">
        <w:rPr>
          <w:spacing w:val="-8"/>
          <w:w w:val="105"/>
          <w:sz w:val="22"/>
          <w:szCs w:val="22"/>
        </w:rPr>
        <w:t xml:space="preserve"> </w:t>
      </w:r>
      <w:r w:rsidR="000745FA" w:rsidRPr="00AE4EFC">
        <w:rPr>
          <w:w w:val="105"/>
          <w:sz w:val="22"/>
          <w:szCs w:val="22"/>
        </w:rPr>
        <w:t>including benefits specific to those who are TCL</w:t>
      </w:r>
      <w:r w:rsidR="00330A52" w:rsidRPr="00AE4EFC">
        <w:rPr>
          <w:w w:val="105"/>
          <w:sz w:val="22"/>
          <w:szCs w:val="22"/>
        </w:rPr>
        <w:t xml:space="preserve"> </w:t>
      </w:r>
      <w:r w:rsidR="000745FA" w:rsidRPr="00AE4EFC">
        <w:rPr>
          <w:w w:val="105"/>
          <w:sz w:val="22"/>
          <w:szCs w:val="22"/>
        </w:rPr>
        <w:t xml:space="preserve">eligible </w:t>
      </w:r>
      <w:r w:rsidR="00330A52" w:rsidRPr="00AE4EFC">
        <w:rPr>
          <w:w w:val="105"/>
          <w:sz w:val="22"/>
          <w:szCs w:val="22"/>
        </w:rPr>
        <w:t>(</w:t>
      </w:r>
      <w:r w:rsidR="000745FA" w:rsidRPr="00AE4EFC">
        <w:rPr>
          <w:w w:val="105"/>
          <w:sz w:val="22"/>
          <w:szCs w:val="22"/>
        </w:rPr>
        <w:t>such as rental subsidies</w:t>
      </w:r>
      <w:r w:rsidR="00330A52" w:rsidRPr="00AE4EFC">
        <w:rPr>
          <w:w w:val="105"/>
          <w:sz w:val="22"/>
          <w:szCs w:val="22"/>
        </w:rPr>
        <w:t>)</w:t>
      </w:r>
      <w:r w:rsidR="000745FA" w:rsidRPr="00AE4EFC">
        <w:rPr>
          <w:w w:val="105"/>
          <w:sz w:val="22"/>
          <w:szCs w:val="22"/>
        </w:rPr>
        <w:t>, that may be needed for an</w:t>
      </w:r>
      <w:r w:rsidR="000745FA" w:rsidRPr="00AE4EFC">
        <w:rPr>
          <w:spacing w:val="1"/>
          <w:w w:val="105"/>
          <w:sz w:val="22"/>
          <w:szCs w:val="22"/>
        </w:rPr>
        <w:t xml:space="preserve"> </w:t>
      </w:r>
      <w:r w:rsidR="000745FA" w:rsidRPr="00AE4EFC">
        <w:rPr>
          <w:w w:val="105"/>
          <w:sz w:val="22"/>
          <w:szCs w:val="22"/>
        </w:rPr>
        <w:t>individual</w:t>
      </w:r>
      <w:r w:rsidR="000745FA" w:rsidRPr="00AE4EFC">
        <w:rPr>
          <w:spacing w:val="21"/>
          <w:w w:val="105"/>
          <w:sz w:val="22"/>
          <w:szCs w:val="22"/>
        </w:rPr>
        <w:t xml:space="preserve"> </w:t>
      </w:r>
      <w:r w:rsidR="000745FA" w:rsidRPr="00AE4EFC">
        <w:rPr>
          <w:w w:val="105"/>
          <w:sz w:val="22"/>
          <w:szCs w:val="22"/>
        </w:rPr>
        <w:t>to</w:t>
      </w:r>
      <w:r w:rsidR="000745FA" w:rsidRPr="00AE4EFC">
        <w:rPr>
          <w:spacing w:val="4"/>
          <w:w w:val="105"/>
          <w:sz w:val="22"/>
          <w:szCs w:val="22"/>
        </w:rPr>
        <w:t xml:space="preserve"> </w:t>
      </w:r>
      <w:r w:rsidR="000745FA" w:rsidRPr="00AE4EFC">
        <w:rPr>
          <w:w w:val="105"/>
          <w:sz w:val="22"/>
          <w:szCs w:val="22"/>
        </w:rPr>
        <w:t>live</w:t>
      </w:r>
      <w:r w:rsidR="000745FA" w:rsidRPr="00AE4EFC">
        <w:rPr>
          <w:spacing w:val="-1"/>
          <w:w w:val="105"/>
          <w:sz w:val="22"/>
          <w:szCs w:val="22"/>
        </w:rPr>
        <w:t xml:space="preserve"> </w:t>
      </w:r>
      <w:r w:rsidR="000745FA" w:rsidRPr="00AE4EFC">
        <w:rPr>
          <w:w w:val="105"/>
          <w:sz w:val="22"/>
          <w:szCs w:val="22"/>
        </w:rPr>
        <w:t>successfully</w:t>
      </w:r>
      <w:r w:rsidR="000745FA" w:rsidRPr="00AE4EFC">
        <w:rPr>
          <w:spacing w:val="23"/>
          <w:w w:val="105"/>
          <w:sz w:val="22"/>
          <w:szCs w:val="22"/>
        </w:rPr>
        <w:t xml:space="preserve"> </w:t>
      </w:r>
      <w:r w:rsidR="000745FA" w:rsidRPr="00AE4EFC">
        <w:rPr>
          <w:w w:val="105"/>
          <w:sz w:val="22"/>
          <w:szCs w:val="22"/>
        </w:rPr>
        <w:t>in</w:t>
      </w:r>
      <w:r w:rsidR="000745FA" w:rsidRPr="00AE4EFC">
        <w:rPr>
          <w:spacing w:val="10"/>
          <w:w w:val="105"/>
          <w:sz w:val="22"/>
          <w:szCs w:val="22"/>
        </w:rPr>
        <w:t xml:space="preserve"> </w:t>
      </w:r>
      <w:r w:rsidR="000745FA" w:rsidRPr="00AE4EFC">
        <w:rPr>
          <w:w w:val="105"/>
          <w:sz w:val="22"/>
          <w:szCs w:val="22"/>
        </w:rPr>
        <w:t>the</w:t>
      </w:r>
      <w:r w:rsidR="000745FA" w:rsidRPr="00AE4EFC">
        <w:rPr>
          <w:spacing w:val="-8"/>
          <w:w w:val="105"/>
          <w:sz w:val="22"/>
          <w:szCs w:val="22"/>
        </w:rPr>
        <w:t xml:space="preserve"> </w:t>
      </w:r>
      <w:r w:rsidR="000745FA" w:rsidRPr="00AE4EFC">
        <w:rPr>
          <w:w w:val="105"/>
          <w:sz w:val="22"/>
          <w:szCs w:val="22"/>
        </w:rPr>
        <w:t>community.</w:t>
      </w:r>
    </w:p>
    <w:p w14:paraId="29672657" w14:textId="77777777" w:rsidR="000745FA" w:rsidRPr="00AE4EFC" w:rsidRDefault="000745FA" w:rsidP="000745FA">
      <w:pPr>
        <w:pStyle w:val="BodyText"/>
        <w:spacing w:before="7"/>
        <w:rPr>
          <w:sz w:val="22"/>
          <w:szCs w:val="22"/>
        </w:rPr>
      </w:pPr>
    </w:p>
    <w:p w14:paraId="7536A0F5" w14:textId="0C0A2957" w:rsidR="000745FA" w:rsidRPr="000745FA" w:rsidRDefault="000745FA" w:rsidP="000745FA">
      <w:pPr>
        <w:pStyle w:val="BodyText"/>
        <w:spacing w:before="1" w:line="247" w:lineRule="auto"/>
        <w:ind w:right="888"/>
        <w:rPr>
          <w:sz w:val="22"/>
          <w:szCs w:val="22"/>
        </w:rPr>
      </w:pPr>
      <w:r w:rsidRPr="00AE4EFC">
        <w:rPr>
          <w:w w:val="105"/>
          <w:sz w:val="22"/>
          <w:szCs w:val="22"/>
        </w:rPr>
        <w:t>For any of your residents who qualify for TCL and who have a legal guardian, a copy of the court order</w:t>
      </w:r>
      <w:r w:rsidRPr="00AE4EFC">
        <w:rPr>
          <w:spacing w:val="1"/>
          <w:w w:val="105"/>
          <w:sz w:val="22"/>
          <w:szCs w:val="22"/>
        </w:rPr>
        <w:t xml:space="preserve"> naming the person as guardian </w:t>
      </w:r>
      <w:r w:rsidRPr="00AE4EFC">
        <w:rPr>
          <w:w w:val="105"/>
          <w:sz w:val="22"/>
          <w:szCs w:val="22"/>
        </w:rPr>
        <w:t>must be provided to the</w:t>
      </w:r>
      <w:r w:rsidR="00AE4EFC" w:rsidRPr="00AE4EFC">
        <w:rPr>
          <w:w w:val="105"/>
          <w:sz w:val="22"/>
          <w:szCs w:val="22"/>
        </w:rPr>
        <w:t xml:space="preserve"> Tailored Plan, or LME/MCO, </w:t>
      </w:r>
      <w:r w:rsidRPr="00AE4EFC">
        <w:rPr>
          <w:w w:val="105"/>
          <w:sz w:val="22"/>
          <w:szCs w:val="22"/>
        </w:rPr>
        <w:t>In</w:t>
      </w:r>
      <w:r w:rsidR="00AE4EFC" w:rsidRPr="00AE4EFC">
        <w:rPr>
          <w:w w:val="105"/>
          <w:sz w:val="22"/>
          <w:szCs w:val="22"/>
        </w:rPr>
        <w:t xml:space="preserve"> </w:t>
      </w:r>
      <w:r w:rsidRPr="00AE4EFC">
        <w:rPr>
          <w:w w:val="105"/>
          <w:sz w:val="22"/>
          <w:szCs w:val="22"/>
        </w:rPr>
        <w:t xml:space="preserve">Reach </w:t>
      </w:r>
      <w:r w:rsidR="00AE4EFC" w:rsidRPr="00AE4EFC">
        <w:rPr>
          <w:w w:val="105"/>
          <w:sz w:val="22"/>
          <w:szCs w:val="22"/>
        </w:rPr>
        <w:t>Specialist</w:t>
      </w:r>
      <w:r w:rsidRPr="00AE4EFC">
        <w:rPr>
          <w:w w:val="105"/>
          <w:sz w:val="22"/>
          <w:szCs w:val="22"/>
        </w:rPr>
        <w:t xml:space="preserve">, </w:t>
      </w:r>
      <w:r w:rsidR="00AE4EFC" w:rsidRPr="00AE4EFC">
        <w:rPr>
          <w:w w:val="105"/>
          <w:sz w:val="22"/>
          <w:szCs w:val="22"/>
        </w:rPr>
        <w:t>as well as</w:t>
      </w:r>
      <w:r w:rsidRPr="00AE4EFC">
        <w:rPr>
          <w:w w:val="105"/>
          <w:sz w:val="22"/>
          <w:szCs w:val="22"/>
        </w:rPr>
        <w:t xml:space="preserve"> the guardians' phone</w:t>
      </w:r>
      <w:r w:rsidRPr="00AE4EFC">
        <w:rPr>
          <w:spacing w:val="1"/>
          <w:w w:val="105"/>
          <w:sz w:val="22"/>
          <w:szCs w:val="22"/>
        </w:rPr>
        <w:t xml:space="preserve"> </w:t>
      </w:r>
      <w:r w:rsidRPr="00AE4EFC">
        <w:rPr>
          <w:sz w:val="22"/>
          <w:szCs w:val="22"/>
        </w:rPr>
        <w:t>number</w:t>
      </w:r>
      <w:r w:rsidRPr="00AE4EFC">
        <w:rPr>
          <w:spacing w:val="16"/>
          <w:sz w:val="22"/>
          <w:szCs w:val="22"/>
        </w:rPr>
        <w:t xml:space="preserve"> </w:t>
      </w:r>
      <w:r w:rsidRPr="00AE4EFC">
        <w:rPr>
          <w:sz w:val="22"/>
          <w:szCs w:val="22"/>
        </w:rPr>
        <w:t>and</w:t>
      </w:r>
      <w:r w:rsidRPr="00AE4EFC">
        <w:rPr>
          <w:spacing w:val="35"/>
          <w:sz w:val="22"/>
          <w:szCs w:val="22"/>
        </w:rPr>
        <w:t xml:space="preserve"> </w:t>
      </w:r>
      <w:r w:rsidRPr="00AE4EFC">
        <w:rPr>
          <w:sz w:val="22"/>
          <w:szCs w:val="22"/>
        </w:rPr>
        <w:t>mailing</w:t>
      </w:r>
      <w:r w:rsidRPr="000745FA">
        <w:rPr>
          <w:spacing w:val="28"/>
          <w:sz w:val="22"/>
          <w:szCs w:val="22"/>
        </w:rPr>
        <w:t xml:space="preserve"> </w:t>
      </w:r>
      <w:r w:rsidRPr="000745FA">
        <w:rPr>
          <w:sz w:val="22"/>
          <w:szCs w:val="22"/>
        </w:rPr>
        <w:t>address.</w:t>
      </w:r>
      <w:r w:rsidRPr="000745FA">
        <w:rPr>
          <w:spacing w:val="29"/>
          <w:sz w:val="22"/>
          <w:szCs w:val="22"/>
        </w:rPr>
        <w:t xml:space="preserve"> </w:t>
      </w:r>
      <w:r w:rsidRPr="000745FA">
        <w:rPr>
          <w:sz w:val="22"/>
          <w:szCs w:val="22"/>
        </w:rPr>
        <w:t>This</w:t>
      </w:r>
      <w:r w:rsidRPr="000745FA">
        <w:rPr>
          <w:spacing w:val="9"/>
          <w:sz w:val="22"/>
          <w:szCs w:val="22"/>
        </w:rPr>
        <w:t xml:space="preserve"> </w:t>
      </w:r>
      <w:r w:rsidRPr="000745FA">
        <w:rPr>
          <w:sz w:val="22"/>
          <w:szCs w:val="22"/>
        </w:rPr>
        <w:t>is</w:t>
      </w:r>
      <w:r w:rsidRPr="000745FA">
        <w:rPr>
          <w:spacing w:val="3"/>
          <w:sz w:val="22"/>
          <w:szCs w:val="22"/>
        </w:rPr>
        <w:t xml:space="preserve"> </w:t>
      </w:r>
      <w:r w:rsidRPr="000745FA">
        <w:rPr>
          <w:sz w:val="22"/>
          <w:szCs w:val="22"/>
        </w:rPr>
        <w:t>essential</w:t>
      </w:r>
      <w:r w:rsidRPr="000745FA">
        <w:rPr>
          <w:spacing w:val="40"/>
          <w:sz w:val="22"/>
          <w:szCs w:val="22"/>
        </w:rPr>
        <w:t xml:space="preserve"> </w:t>
      </w:r>
      <w:r w:rsidR="00AE4EFC">
        <w:rPr>
          <w:sz w:val="22"/>
          <w:szCs w:val="22"/>
        </w:rPr>
        <w:t>to</w:t>
      </w:r>
      <w:r w:rsidRPr="000745FA">
        <w:rPr>
          <w:spacing w:val="14"/>
          <w:sz w:val="22"/>
          <w:szCs w:val="22"/>
        </w:rPr>
        <w:t xml:space="preserve"> </w:t>
      </w:r>
      <w:r w:rsidRPr="000745FA">
        <w:rPr>
          <w:sz w:val="22"/>
          <w:szCs w:val="22"/>
        </w:rPr>
        <w:t>ensure</w:t>
      </w:r>
      <w:r w:rsidRPr="000745FA">
        <w:rPr>
          <w:spacing w:val="23"/>
          <w:sz w:val="22"/>
          <w:szCs w:val="22"/>
        </w:rPr>
        <w:t xml:space="preserve"> </w:t>
      </w:r>
      <w:r w:rsidRPr="000745FA">
        <w:rPr>
          <w:sz w:val="22"/>
          <w:szCs w:val="22"/>
        </w:rPr>
        <w:t>that</w:t>
      </w:r>
      <w:r w:rsidRPr="000745FA">
        <w:rPr>
          <w:spacing w:val="26"/>
          <w:sz w:val="22"/>
          <w:szCs w:val="22"/>
        </w:rPr>
        <w:t xml:space="preserve"> </w:t>
      </w:r>
      <w:r w:rsidRPr="000745FA">
        <w:rPr>
          <w:sz w:val="22"/>
          <w:szCs w:val="22"/>
        </w:rPr>
        <w:t>the</w:t>
      </w:r>
      <w:r w:rsidRPr="000745FA">
        <w:rPr>
          <w:spacing w:val="15"/>
          <w:sz w:val="22"/>
          <w:szCs w:val="22"/>
        </w:rPr>
        <w:t xml:space="preserve"> </w:t>
      </w:r>
      <w:r w:rsidRPr="000745FA">
        <w:rPr>
          <w:sz w:val="22"/>
          <w:szCs w:val="22"/>
        </w:rPr>
        <w:t>guardian is apprised of upcoming conversation</w:t>
      </w:r>
      <w:r w:rsidR="00AE4EFC">
        <w:rPr>
          <w:sz w:val="22"/>
          <w:szCs w:val="22"/>
        </w:rPr>
        <w:t>s</w:t>
      </w:r>
      <w:r w:rsidRPr="000745FA">
        <w:rPr>
          <w:sz w:val="22"/>
          <w:szCs w:val="22"/>
        </w:rPr>
        <w:t xml:space="preserve"> with In Reach</w:t>
      </w:r>
      <w:r w:rsidR="00330A52">
        <w:rPr>
          <w:sz w:val="22"/>
          <w:szCs w:val="22"/>
        </w:rPr>
        <w:t xml:space="preserve"> </w:t>
      </w:r>
      <w:r w:rsidR="00AE4EFC">
        <w:rPr>
          <w:sz w:val="22"/>
          <w:szCs w:val="22"/>
        </w:rPr>
        <w:t>Specialists</w:t>
      </w:r>
      <w:r>
        <w:rPr>
          <w:sz w:val="22"/>
          <w:szCs w:val="22"/>
        </w:rPr>
        <w:t xml:space="preserve"> </w:t>
      </w:r>
      <w:r w:rsidRPr="000745FA">
        <w:rPr>
          <w:sz w:val="22"/>
          <w:szCs w:val="22"/>
        </w:rPr>
        <w:t xml:space="preserve">without violating the rights of the individual.  </w:t>
      </w:r>
    </w:p>
    <w:p w14:paraId="4BC9D08A" w14:textId="77777777" w:rsidR="000745FA" w:rsidRPr="000745FA" w:rsidRDefault="000745FA" w:rsidP="000745FA">
      <w:pPr>
        <w:pStyle w:val="BodyText"/>
        <w:spacing w:before="1" w:line="247" w:lineRule="auto"/>
        <w:ind w:right="888"/>
        <w:rPr>
          <w:sz w:val="22"/>
          <w:szCs w:val="22"/>
        </w:rPr>
      </w:pPr>
    </w:p>
    <w:p w14:paraId="18520997" w14:textId="7199AD25" w:rsidR="000745FA" w:rsidRPr="000745FA" w:rsidRDefault="000745FA" w:rsidP="000745FA">
      <w:pPr>
        <w:pStyle w:val="BodyText"/>
        <w:spacing w:line="249" w:lineRule="auto"/>
        <w:ind w:right="862"/>
        <w:rPr>
          <w:sz w:val="22"/>
          <w:szCs w:val="22"/>
        </w:rPr>
      </w:pPr>
      <w:r w:rsidRPr="000745FA">
        <w:rPr>
          <w:sz w:val="22"/>
          <w:szCs w:val="22"/>
        </w:rPr>
        <w:t>We</w:t>
      </w:r>
      <w:r w:rsidRPr="000745FA">
        <w:rPr>
          <w:spacing w:val="14"/>
          <w:sz w:val="22"/>
          <w:szCs w:val="22"/>
        </w:rPr>
        <w:t xml:space="preserve"> </w:t>
      </w:r>
      <w:r w:rsidRPr="000745FA">
        <w:rPr>
          <w:sz w:val="22"/>
          <w:szCs w:val="22"/>
        </w:rPr>
        <w:t>appreciate</w:t>
      </w:r>
      <w:r w:rsidRPr="000745FA">
        <w:rPr>
          <w:spacing w:val="32"/>
          <w:sz w:val="22"/>
          <w:szCs w:val="22"/>
        </w:rPr>
        <w:t xml:space="preserve"> </w:t>
      </w:r>
      <w:r w:rsidRPr="000745FA">
        <w:rPr>
          <w:sz w:val="22"/>
          <w:szCs w:val="22"/>
        </w:rPr>
        <w:t>your</w:t>
      </w:r>
      <w:r w:rsidRPr="000745FA">
        <w:rPr>
          <w:spacing w:val="9"/>
          <w:sz w:val="22"/>
          <w:szCs w:val="22"/>
        </w:rPr>
        <w:t xml:space="preserve"> </w:t>
      </w:r>
      <w:r w:rsidRPr="000745FA">
        <w:rPr>
          <w:sz w:val="22"/>
          <w:szCs w:val="22"/>
        </w:rPr>
        <w:t>assistance</w:t>
      </w:r>
      <w:r w:rsidRPr="000745FA">
        <w:rPr>
          <w:spacing w:val="32"/>
          <w:sz w:val="22"/>
          <w:szCs w:val="22"/>
        </w:rPr>
        <w:t xml:space="preserve"> </w:t>
      </w:r>
      <w:r w:rsidRPr="000745FA">
        <w:rPr>
          <w:sz w:val="22"/>
          <w:szCs w:val="22"/>
        </w:rPr>
        <w:t>in</w:t>
      </w:r>
      <w:r w:rsidRPr="000745FA">
        <w:rPr>
          <w:spacing w:val="8"/>
          <w:sz w:val="22"/>
          <w:szCs w:val="22"/>
        </w:rPr>
        <w:t xml:space="preserve"> </w:t>
      </w:r>
      <w:r w:rsidRPr="000745FA">
        <w:rPr>
          <w:sz w:val="22"/>
          <w:szCs w:val="22"/>
        </w:rPr>
        <w:t>ensuring</w:t>
      </w:r>
      <w:r w:rsidRPr="000745FA">
        <w:rPr>
          <w:spacing w:val="30"/>
          <w:sz w:val="22"/>
          <w:szCs w:val="22"/>
        </w:rPr>
        <w:t xml:space="preserve"> </w:t>
      </w:r>
      <w:r w:rsidRPr="000745FA">
        <w:rPr>
          <w:sz w:val="22"/>
          <w:szCs w:val="22"/>
        </w:rPr>
        <w:t xml:space="preserve">that </w:t>
      </w:r>
      <w:r w:rsidR="00330A52">
        <w:rPr>
          <w:sz w:val="22"/>
          <w:szCs w:val="22"/>
        </w:rPr>
        <w:t>individuals</w:t>
      </w:r>
      <w:r w:rsidRPr="000745FA">
        <w:rPr>
          <w:sz w:val="22"/>
          <w:szCs w:val="22"/>
        </w:rPr>
        <w:t xml:space="preserve"> that are </w:t>
      </w:r>
      <w:r w:rsidR="00AE4EFC">
        <w:rPr>
          <w:sz w:val="22"/>
          <w:szCs w:val="22"/>
        </w:rPr>
        <w:t>TCL</w:t>
      </w:r>
      <w:r w:rsidRPr="000745FA">
        <w:rPr>
          <w:sz w:val="22"/>
          <w:szCs w:val="22"/>
        </w:rPr>
        <w:t xml:space="preserve"> eligible</w:t>
      </w:r>
      <w:r w:rsidRPr="000745FA">
        <w:rPr>
          <w:spacing w:val="27"/>
          <w:sz w:val="22"/>
          <w:szCs w:val="22"/>
        </w:rPr>
        <w:t xml:space="preserve"> </w:t>
      </w:r>
      <w:r w:rsidRPr="000745FA">
        <w:rPr>
          <w:sz w:val="22"/>
          <w:szCs w:val="22"/>
        </w:rPr>
        <w:t>are</w:t>
      </w:r>
      <w:r w:rsidRPr="000745FA">
        <w:rPr>
          <w:spacing w:val="11"/>
          <w:sz w:val="22"/>
          <w:szCs w:val="22"/>
        </w:rPr>
        <w:t xml:space="preserve"> </w:t>
      </w:r>
      <w:r w:rsidRPr="000745FA">
        <w:rPr>
          <w:sz w:val="22"/>
          <w:szCs w:val="22"/>
        </w:rPr>
        <w:t>fully</w:t>
      </w:r>
      <w:r w:rsidRPr="000745FA">
        <w:rPr>
          <w:spacing w:val="16"/>
          <w:sz w:val="22"/>
          <w:szCs w:val="22"/>
        </w:rPr>
        <w:t xml:space="preserve"> </w:t>
      </w:r>
      <w:r w:rsidRPr="000745FA">
        <w:rPr>
          <w:sz w:val="22"/>
          <w:szCs w:val="22"/>
        </w:rPr>
        <w:t>informed</w:t>
      </w:r>
      <w:r w:rsidRPr="000745FA">
        <w:rPr>
          <w:spacing w:val="1"/>
          <w:sz w:val="22"/>
          <w:szCs w:val="22"/>
        </w:rPr>
        <w:t xml:space="preserve"> </w:t>
      </w:r>
      <w:r w:rsidRPr="000745FA">
        <w:rPr>
          <w:w w:val="105"/>
          <w:sz w:val="22"/>
          <w:szCs w:val="22"/>
        </w:rPr>
        <w:t>about the</w:t>
      </w:r>
      <w:r w:rsidRPr="000745FA">
        <w:rPr>
          <w:spacing w:val="-2"/>
          <w:w w:val="105"/>
          <w:sz w:val="22"/>
          <w:szCs w:val="22"/>
        </w:rPr>
        <w:t xml:space="preserve"> </w:t>
      </w:r>
      <w:r w:rsidRPr="000745FA">
        <w:rPr>
          <w:w w:val="105"/>
          <w:sz w:val="22"/>
          <w:szCs w:val="22"/>
        </w:rPr>
        <w:t>options</w:t>
      </w:r>
      <w:r w:rsidRPr="000745FA">
        <w:rPr>
          <w:spacing w:val="1"/>
          <w:w w:val="105"/>
          <w:sz w:val="22"/>
          <w:szCs w:val="22"/>
        </w:rPr>
        <w:t xml:space="preserve"> </w:t>
      </w:r>
      <w:r w:rsidRPr="000745FA">
        <w:rPr>
          <w:w w:val="105"/>
          <w:sz w:val="22"/>
          <w:szCs w:val="22"/>
        </w:rPr>
        <w:t>available</w:t>
      </w:r>
      <w:r w:rsidRPr="000745FA">
        <w:rPr>
          <w:spacing w:val="2"/>
          <w:w w:val="105"/>
          <w:sz w:val="22"/>
          <w:szCs w:val="22"/>
        </w:rPr>
        <w:t xml:space="preserve"> </w:t>
      </w:r>
      <w:r w:rsidRPr="000745FA">
        <w:rPr>
          <w:w w:val="105"/>
          <w:sz w:val="22"/>
          <w:szCs w:val="22"/>
        </w:rPr>
        <w:t>to</w:t>
      </w:r>
      <w:r w:rsidRPr="000745FA">
        <w:rPr>
          <w:spacing w:val="-8"/>
          <w:w w:val="105"/>
          <w:sz w:val="22"/>
          <w:szCs w:val="22"/>
        </w:rPr>
        <w:t xml:space="preserve"> </w:t>
      </w:r>
      <w:r w:rsidRPr="000745FA">
        <w:rPr>
          <w:w w:val="105"/>
          <w:sz w:val="22"/>
          <w:szCs w:val="22"/>
        </w:rPr>
        <w:t>them</w:t>
      </w:r>
      <w:r w:rsidRPr="000745FA">
        <w:rPr>
          <w:spacing w:val="-2"/>
          <w:w w:val="105"/>
          <w:sz w:val="22"/>
          <w:szCs w:val="22"/>
        </w:rPr>
        <w:t xml:space="preserve"> </w:t>
      </w:r>
      <w:r w:rsidRPr="000745FA">
        <w:rPr>
          <w:w w:val="105"/>
          <w:sz w:val="22"/>
          <w:szCs w:val="22"/>
        </w:rPr>
        <w:t>for</w:t>
      </w:r>
      <w:r w:rsidRPr="000745FA">
        <w:rPr>
          <w:spacing w:val="-5"/>
          <w:w w:val="105"/>
          <w:sz w:val="22"/>
          <w:szCs w:val="22"/>
        </w:rPr>
        <w:t xml:space="preserve"> </w:t>
      </w:r>
      <w:r w:rsidRPr="000745FA">
        <w:rPr>
          <w:w w:val="105"/>
          <w:sz w:val="22"/>
          <w:szCs w:val="22"/>
        </w:rPr>
        <w:t>services</w:t>
      </w:r>
      <w:r w:rsidRPr="000745FA">
        <w:rPr>
          <w:spacing w:val="4"/>
          <w:w w:val="105"/>
          <w:sz w:val="22"/>
          <w:szCs w:val="22"/>
        </w:rPr>
        <w:t xml:space="preserve"> </w:t>
      </w:r>
      <w:r w:rsidRPr="000745FA">
        <w:rPr>
          <w:w w:val="105"/>
          <w:sz w:val="22"/>
          <w:szCs w:val="22"/>
        </w:rPr>
        <w:t>and</w:t>
      </w:r>
      <w:r w:rsidRPr="000745FA">
        <w:rPr>
          <w:spacing w:val="7"/>
          <w:w w:val="105"/>
          <w:sz w:val="22"/>
          <w:szCs w:val="22"/>
        </w:rPr>
        <w:t xml:space="preserve"> </w:t>
      </w:r>
      <w:r w:rsidRPr="000745FA">
        <w:rPr>
          <w:w w:val="105"/>
          <w:sz w:val="22"/>
          <w:szCs w:val="22"/>
        </w:rPr>
        <w:t>living</w:t>
      </w:r>
      <w:r w:rsidRPr="000745FA">
        <w:rPr>
          <w:spacing w:val="-8"/>
          <w:w w:val="105"/>
          <w:sz w:val="22"/>
          <w:szCs w:val="22"/>
        </w:rPr>
        <w:t xml:space="preserve"> </w:t>
      </w:r>
      <w:r w:rsidRPr="000745FA">
        <w:rPr>
          <w:w w:val="105"/>
          <w:sz w:val="22"/>
          <w:szCs w:val="22"/>
        </w:rPr>
        <w:t xml:space="preserve">accommodations under the Americans with Disabilities Act and the Olmstead US Supreme Court decision.    </w:t>
      </w:r>
    </w:p>
    <w:p w14:paraId="1E4695F6" w14:textId="77777777" w:rsidR="000745FA" w:rsidRPr="000745FA" w:rsidRDefault="000745FA" w:rsidP="000745FA">
      <w:pPr>
        <w:pStyle w:val="BodyText"/>
        <w:spacing w:before="8"/>
        <w:rPr>
          <w:sz w:val="22"/>
          <w:szCs w:val="22"/>
        </w:rPr>
      </w:pPr>
    </w:p>
    <w:p w14:paraId="22D066EA" w14:textId="4B118031" w:rsidR="000745FA" w:rsidRDefault="000745FA" w:rsidP="000745FA">
      <w:pPr>
        <w:pStyle w:val="NoSpacing"/>
        <w:rPr>
          <w:rFonts w:ascii="Times New Roman" w:hAnsi="Times New Roman"/>
          <w:color w:val="000000"/>
          <w:szCs w:val="22"/>
        </w:rPr>
      </w:pPr>
      <w:r w:rsidRPr="000745FA">
        <w:rPr>
          <w:rFonts w:ascii="Times New Roman" w:hAnsi="Times New Roman"/>
          <w:szCs w:val="22"/>
        </w:rPr>
        <w:t>If you have any questions, please do not hesitate to contact me</w:t>
      </w:r>
      <w:r w:rsidRPr="000745FA"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 xml:space="preserve">at </w:t>
      </w:r>
      <w:hyperlink r:id="rId11" w:history="1">
        <w:r w:rsidRPr="00A51532">
          <w:rPr>
            <w:rStyle w:val="Hyperlink"/>
            <w:rFonts w:ascii="Times New Roman" w:hAnsi="Times New Roman"/>
            <w:szCs w:val="22"/>
          </w:rPr>
          <w:t>deborah.goda@dhhs.nc.gov</w:t>
        </w:r>
      </w:hyperlink>
      <w:r>
        <w:rPr>
          <w:rFonts w:ascii="Times New Roman" w:hAnsi="Times New Roman"/>
          <w:color w:val="000000"/>
          <w:szCs w:val="22"/>
        </w:rPr>
        <w:t>.</w:t>
      </w:r>
    </w:p>
    <w:p w14:paraId="14F3C960" w14:textId="11D35349" w:rsidR="000745FA" w:rsidRPr="000745FA" w:rsidRDefault="000745FA" w:rsidP="000745FA">
      <w:pPr>
        <w:pStyle w:val="NoSpacing"/>
        <w:rPr>
          <w:rFonts w:ascii="Times New Roman" w:hAnsi="Times New Roman"/>
          <w:szCs w:val="22"/>
        </w:rPr>
      </w:pPr>
    </w:p>
    <w:p w14:paraId="67811488" w14:textId="77777777" w:rsidR="000745FA" w:rsidRPr="000745FA" w:rsidRDefault="000745FA" w:rsidP="000745FA">
      <w:pPr>
        <w:pStyle w:val="NoSpacing"/>
        <w:rPr>
          <w:rFonts w:ascii="Times New Roman" w:hAnsi="Times New Roman"/>
          <w:szCs w:val="22"/>
        </w:rPr>
      </w:pPr>
    </w:p>
    <w:p w14:paraId="6282D47C" w14:textId="77777777" w:rsidR="000745FA" w:rsidRPr="000745FA" w:rsidRDefault="000745FA" w:rsidP="000745FA">
      <w:pPr>
        <w:pStyle w:val="NoSpacing"/>
        <w:rPr>
          <w:rFonts w:ascii="Times New Roman" w:hAnsi="Times New Roman"/>
          <w:w w:val="105"/>
          <w:szCs w:val="22"/>
        </w:rPr>
      </w:pPr>
      <w:r w:rsidRPr="000745FA">
        <w:rPr>
          <w:rFonts w:ascii="Times New Roman" w:hAnsi="Times New Roman"/>
          <w:spacing w:val="-55"/>
          <w:szCs w:val="22"/>
        </w:rPr>
        <w:t xml:space="preserve"> </w:t>
      </w:r>
      <w:r w:rsidRPr="000745FA">
        <w:rPr>
          <w:rFonts w:ascii="Times New Roman" w:hAnsi="Times New Roman"/>
          <w:w w:val="105"/>
          <w:szCs w:val="22"/>
        </w:rPr>
        <w:t>Sincerely,</w:t>
      </w:r>
    </w:p>
    <w:p w14:paraId="501E91E8" w14:textId="77777777" w:rsidR="000745FA" w:rsidRDefault="000745FA" w:rsidP="000745FA">
      <w:pPr>
        <w:pStyle w:val="BodyText"/>
        <w:spacing w:line="491" w:lineRule="auto"/>
        <w:ind w:right="3170"/>
        <w:rPr>
          <w:w w:val="105"/>
          <w:sz w:val="22"/>
          <w:szCs w:val="22"/>
        </w:rPr>
      </w:pPr>
    </w:p>
    <w:p w14:paraId="79F576F6" w14:textId="77777777" w:rsidR="00330A52" w:rsidRPr="000745FA" w:rsidRDefault="00330A52" w:rsidP="000745FA">
      <w:pPr>
        <w:pStyle w:val="BodyText"/>
        <w:spacing w:line="491" w:lineRule="auto"/>
        <w:ind w:right="3170"/>
        <w:rPr>
          <w:w w:val="105"/>
          <w:sz w:val="22"/>
          <w:szCs w:val="22"/>
        </w:rPr>
      </w:pPr>
    </w:p>
    <w:p w14:paraId="34CA96D7" w14:textId="29E4C941" w:rsidR="000745FA" w:rsidRPr="000745FA" w:rsidRDefault="000745FA" w:rsidP="000745FA">
      <w:pPr>
        <w:pStyle w:val="NoSpacing"/>
        <w:rPr>
          <w:rFonts w:ascii="Times New Roman" w:hAnsi="Times New Roman"/>
          <w:w w:val="105"/>
          <w:szCs w:val="22"/>
        </w:rPr>
      </w:pPr>
      <w:r w:rsidRPr="000745FA">
        <w:rPr>
          <w:rFonts w:ascii="Times New Roman" w:hAnsi="Times New Roman"/>
          <w:w w:val="105"/>
          <w:szCs w:val="22"/>
        </w:rPr>
        <w:t>Deb Goda</w:t>
      </w:r>
    </w:p>
    <w:p w14:paraId="5B0985FA" w14:textId="1662D68B" w:rsidR="000745FA" w:rsidRDefault="000745FA" w:rsidP="000745FA">
      <w:pPr>
        <w:pStyle w:val="NoSpacing"/>
        <w:rPr>
          <w:rFonts w:ascii="Times New Roman" w:hAnsi="Times New Roman"/>
          <w:color w:val="000000"/>
          <w:szCs w:val="22"/>
        </w:rPr>
      </w:pPr>
      <w:r w:rsidRPr="000745FA">
        <w:rPr>
          <w:rFonts w:ascii="Times New Roman" w:hAnsi="Times New Roman"/>
          <w:w w:val="105"/>
          <w:szCs w:val="22"/>
        </w:rPr>
        <w:t>Director, Olmstead/</w:t>
      </w:r>
      <w:r w:rsidRPr="000745FA">
        <w:rPr>
          <w:rFonts w:ascii="Times New Roman" w:hAnsi="Times New Roman"/>
          <w:color w:val="000000"/>
          <w:szCs w:val="22"/>
        </w:rPr>
        <w:t xml:space="preserve">Transitions to Community Living </w:t>
      </w:r>
    </w:p>
    <w:p w14:paraId="675EF117" w14:textId="3CAE7B68" w:rsidR="000745FA" w:rsidRPr="000745FA" w:rsidRDefault="000745FA" w:rsidP="000745FA">
      <w:pPr>
        <w:pStyle w:val="NoSpacing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Health Equity Portfolio, Office of the Secretary</w:t>
      </w:r>
    </w:p>
    <w:p w14:paraId="1765B9CA" w14:textId="77777777" w:rsidR="000745FA" w:rsidRPr="000745FA" w:rsidRDefault="000745FA" w:rsidP="000745FA">
      <w:pPr>
        <w:pStyle w:val="NoSpacing"/>
        <w:rPr>
          <w:rFonts w:ascii="Times New Roman" w:hAnsi="Times New Roman"/>
          <w:color w:val="000000"/>
          <w:szCs w:val="22"/>
        </w:rPr>
      </w:pPr>
      <w:r w:rsidRPr="000745FA">
        <w:rPr>
          <w:rFonts w:ascii="Times New Roman" w:hAnsi="Times New Roman"/>
          <w:color w:val="000000"/>
          <w:szCs w:val="22"/>
        </w:rPr>
        <w:t xml:space="preserve">NC Department of Health and Human Services </w:t>
      </w:r>
    </w:p>
    <w:p w14:paraId="01BD4D32" w14:textId="77777777" w:rsidR="000745FA" w:rsidRPr="000745FA" w:rsidRDefault="000745FA" w:rsidP="000745FA">
      <w:pPr>
        <w:rPr>
          <w:rFonts w:ascii="Times New Roman" w:hAnsi="Times New Roman"/>
          <w:szCs w:val="22"/>
        </w:rPr>
      </w:pPr>
    </w:p>
    <w:p w14:paraId="7F9B7036" w14:textId="77777777" w:rsidR="00AB4A6B" w:rsidRPr="000745FA" w:rsidRDefault="00AB4A6B" w:rsidP="000745FA">
      <w:pPr>
        <w:rPr>
          <w:rFonts w:ascii="Times New Roman" w:hAnsi="Times New Roman"/>
        </w:rPr>
      </w:pPr>
    </w:p>
    <w:sectPr w:rsidR="00AB4A6B" w:rsidRPr="000745FA" w:rsidSect="007D475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161" w:right="144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3F2D3" w14:textId="77777777" w:rsidR="00DA00A6" w:rsidRDefault="00DA00A6" w:rsidP="00A32A4C">
      <w:r>
        <w:separator/>
      </w:r>
    </w:p>
  </w:endnote>
  <w:endnote w:type="continuationSeparator" w:id="0">
    <w:p w14:paraId="66D7FA81" w14:textId="77777777" w:rsidR="00DA00A6" w:rsidRDefault="00DA00A6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F3EC" w14:textId="77777777" w:rsidR="00C30A39" w:rsidRPr="00842EAA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</w:pP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begin"/>
    </w: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instrText xml:space="preserve">PAGE  </w:instrText>
    </w: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separate"/>
    </w:r>
    <w:r w:rsidR="008142E9">
      <w:rPr>
        <w:rStyle w:val="PageNumber"/>
        <w:rFonts w:ascii="Arial" w:hAnsi="Arial" w:cs="Arial"/>
        <w:b/>
        <w:bCs/>
        <w:noProof/>
        <w:color w:val="000000" w:themeColor="text1"/>
        <w:sz w:val="18"/>
        <w:szCs w:val="18"/>
      </w:rPr>
      <w:t>2</w:t>
    </w:r>
    <w:r w:rsidRPr="00842EAA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end"/>
    </w:r>
  </w:p>
  <w:p w14:paraId="55A6A370" w14:textId="77777777" w:rsidR="00A32A4C" w:rsidRPr="00842EAA" w:rsidRDefault="00A32A4C" w:rsidP="00C30A39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E0DC" w14:textId="77777777" w:rsidR="007D4756" w:rsidRPr="00676B54" w:rsidRDefault="007D475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</w:p>
  <w:p w14:paraId="34692DA4" w14:textId="3AF3D480" w:rsidR="007D4756" w:rsidRPr="00676B54" w:rsidRDefault="007D475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676B54">
      <w:rPr>
        <w:rFonts w:ascii="Arial" w:hAnsi="Arial" w:cs="Arial"/>
        <w:b/>
        <w:bCs/>
        <w:sz w:val="16"/>
        <w:szCs w:val="16"/>
      </w:rPr>
      <w:t xml:space="preserve">NC DEPARTMENT OF HEALTH AND HUMAN SERVICES </w:t>
    </w:r>
    <w:r w:rsidRPr="00676B54">
      <w:rPr>
        <w:rFonts w:ascii="Arial" w:hAnsi="Arial" w:cs="Arial"/>
        <w:sz w:val="16"/>
        <w:szCs w:val="16"/>
      </w:rPr>
      <w:t xml:space="preserve"> </w:t>
    </w:r>
  </w:p>
  <w:p w14:paraId="4208BEA0" w14:textId="77C7631E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LOCATION: </w:t>
    </w:r>
    <w:r w:rsidR="00520E43">
      <w:rPr>
        <w:rFonts w:ascii="Arial" w:hAnsi="Arial" w:cs="Arial"/>
        <w:sz w:val="16"/>
        <w:szCs w:val="16"/>
      </w:rPr>
      <w:t>101 Blair</w:t>
    </w:r>
    <w:r w:rsidR="00FB666B" w:rsidRPr="00676B54">
      <w:rPr>
        <w:rFonts w:ascii="Arial" w:hAnsi="Arial" w:cs="Arial"/>
        <w:sz w:val="16"/>
        <w:szCs w:val="16"/>
      </w:rPr>
      <w:t xml:space="preserve"> Drive, </w:t>
    </w:r>
    <w:r w:rsidR="00520E43">
      <w:rPr>
        <w:rFonts w:ascii="Arial" w:hAnsi="Arial" w:cs="Arial"/>
        <w:sz w:val="16"/>
        <w:szCs w:val="16"/>
      </w:rPr>
      <w:t>Adams</w:t>
    </w:r>
    <w:r w:rsidR="001415C7">
      <w:rPr>
        <w:rFonts w:ascii="Arial" w:hAnsi="Arial" w:cs="Arial"/>
        <w:sz w:val="16"/>
        <w:szCs w:val="16"/>
      </w:rPr>
      <w:t xml:space="preserve"> Building, Raleigh, NC </w:t>
    </w:r>
    <w:r w:rsidR="00520E43">
      <w:rPr>
        <w:rFonts w:ascii="Arial" w:hAnsi="Arial" w:cs="Arial"/>
        <w:sz w:val="16"/>
        <w:szCs w:val="16"/>
      </w:rPr>
      <w:t>27601</w:t>
    </w:r>
  </w:p>
  <w:p w14:paraId="6485D5FE" w14:textId="0B3E62F9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MAILING ADDRESS: </w:t>
    </w:r>
    <w:r w:rsidR="00520E43">
      <w:rPr>
        <w:rFonts w:ascii="Arial" w:hAnsi="Arial" w:cs="Arial"/>
        <w:sz w:val="16"/>
        <w:szCs w:val="16"/>
      </w:rPr>
      <w:t>2001</w:t>
    </w:r>
    <w:r w:rsidRPr="00676B54">
      <w:rPr>
        <w:rFonts w:ascii="Arial" w:hAnsi="Arial" w:cs="Arial"/>
        <w:sz w:val="16"/>
        <w:szCs w:val="16"/>
      </w:rPr>
      <w:t xml:space="preserve"> Mail Service Center, Raleigh, NC 27699-</w:t>
    </w:r>
    <w:r w:rsidR="00520E43">
      <w:rPr>
        <w:rFonts w:ascii="Arial" w:hAnsi="Arial" w:cs="Arial"/>
        <w:sz w:val="16"/>
        <w:szCs w:val="16"/>
      </w:rPr>
      <w:t>2001</w:t>
    </w:r>
  </w:p>
  <w:p w14:paraId="7D6F5141" w14:textId="6D19A8B7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6"/>
        <w:szCs w:val="16"/>
      </w:rPr>
      <w:t xml:space="preserve">www.ncdhhs.gov  </w:t>
    </w:r>
  </w:p>
  <w:p w14:paraId="328D1E9A" w14:textId="77777777" w:rsidR="00783262" w:rsidRPr="00676B54" w:rsidRDefault="007D4756" w:rsidP="007D4756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676B54">
      <w:rPr>
        <w:rFonts w:ascii="Arial" w:hAnsi="Arial" w:cs="Arial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6A31E" w14:textId="77777777" w:rsidR="00DA00A6" w:rsidRDefault="00DA00A6" w:rsidP="00A32A4C">
      <w:r>
        <w:separator/>
      </w:r>
    </w:p>
  </w:footnote>
  <w:footnote w:type="continuationSeparator" w:id="0">
    <w:p w14:paraId="6FDD28ED" w14:textId="77777777" w:rsidR="00DA00A6" w:rsidRDefault="00DA00A6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8BC4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90"/>
      <w:gridCol w:w="540"/>
      <w:gridCol w:w="5669"/>
    </w:tblGrid>
    <w:tr w:rsidR="00680B31" w:rsidRPr="003D6870" w14:paraId="116A1A47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3F03D75E" w14:textId="77777777" w:rsidR="00680B31" w:rsidRPr="003D687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76B54" w:rsidRPr="003D6870" w14:paraId="6E15CA76" w14:textId="77777777" w:rsidTr="007716D8">
      <w:trPr>
        <w:trHeight w:val="1116"/>
        <w:jc w:val="center"/>
      </w:trPr>
      <w:tc>
        <w:tcPr>
          <w:tcW w:w="4590" w:type="dxa"/>
          <w:tcBorders>
            <w:right w:val="single" w:sz="18" w:space="0" w:color="F1CC00"/>
          </w:tcBorders>
          <w:shd w:val="clear" w:color="auto" w:fill="auto"/>
        </w:tcPr>
        <w:p w14:paraId="2E7EC333" w14:textId="77777777" w:rsidR="00676B54" w:rsidRPr="003D6870" w:rsidRDefault="00EB0019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 w:rsidRPr="003D6870"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190E48C9" wp14:editId="540AF8EC">
                <wp:extent cx="2598420" cy="91440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84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50135837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5669" w:type="dxa"/>
          <w:shd w:val="clear" w:color="auto" w:fill="auto"/>
          <w:vAlign w:val="center"/>
        </w:tcPr>
        <w:p w14:paraId="112C03E9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 w:rsidRPr="003D6870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ROY COOPER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Governor</w:t>
          </w:r>
        </w:p>
        <w:p w14:paraId="70E473D4" w14:textId="77777777" w:rsidR="00676B54" w:rsidRDefault="00E6498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KODY H. KINSLEY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Secretary</w:t>
          </w:r>
        </w:p>
        <w:p w14:paraId="268B1732" w14:textId="5B85A428" w:rsidR="000724F8" w:rsidRDefault="00520E43" w:rsidP="000724F8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Debra C. Farrington</w:t>
          </w:r>
          <w:r w:rsidR="000724F8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>• Deputy</w:t>
          </w:r>
          <w:r w:rsidR="000724F8">
            <w:rPr>
              <w:rFonts w:ascii="Arial" w:hAnsi="Arial" w:cs="Arial"/>
              <w:color w:val="33414F"/>
              <w:sz w:val="18"/>
              <w:szCs w:val="18"/>
            </w:rPr>
            <w:t xml:space="preserve"> </w:t>
          </w:r>
          <w:r w:rsidR="000724F8" w:rsidRPr="003D6870">
            <w:rPr>
              <w:rFonts w:ascii="Arial" w:hAnsi="Arial" w:cs="Arial"/>
              <w:color w:val="33414F"/>
              <w:sz w:val="18"/>
              <w:szCs w:val="18"/>
            </w:rPr>
            <w:t>Secretary</w:t>
          </w:r>
        </w:p>
        <w:p w14:paraId="430D3E24" w14:textId="0D50D412" w:rsidR="000724F8" w:rsidRPr="003D6870" w:rsidRDefault="000724F8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</w:p>
      </w:tc>
    </w:tr>
  </w:tbl>
  <w:p w14:paraId="5504F379" w14:textId="77777777" w:rsidR="00680B31" w:rsidRPr="003D6870" w:rsidRDefault="00680B31" w:rsidP="00680B31">
    <w:pPr>
      <w:pStyle w:val="Header"/>
      <w:rPr>
        <w:rFonts w:ascii="Arial" w:hAnsi="Arial" w:cs="Arial"/>
      </w:rPr>
    </w:pPr>
  </w:p>
  <w:p w14:paraId="39FD444C" w14:textId="77777777" w:rsidR="00CA1E69" w:rsidRPr="003D6870" w:rsidRDefault="00CA1E69" w:rsidP="00680B31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CEA"/>
    <w:multiLevelType w:val="hybridMultilevel"/>
    <w:tmpl w:val="E4BEE9EA"/>
    <w:lvl w:ilvl="0" w:tplc="2716C7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52C22"/>
    <w:multiLevelType w:val="hybridMultilevel"/>
    <w:tmpl w:val="D2DE4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38875">
    <w:abstractNumId w:val="0"/>
  </w:num>
  <w:num w:numId="2" w16cid:durableId="1589970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4C"/>
    <w:rsid w:val="0000608F"/>
    <w:rsid w:val="000132C8"/>
    <w:rsid w:val="000417EE"/>
    <w:rsid w:val="00042993"/>
    <w:rsid w:val="00056A4A"/>
    <w:rsid w:val="00071F23"/>
    <w:rsid w:val="000724F8"/>
    <w:rsid w:val="000745FA"/>
    <w:rsid w:val="00083773"/>
    <w:rsid w:val="000C0F5D"/>
    <w:rsid w:val="000E31CF"/>
    <w:rsid w:val="00107405"/>
    <w:rsid w:val="00111EF3"/>
    <w:rsid w:val="00111F60"/>
    <w:rsid w:val="0011387D"/>
    <w:rsid w:val="00127772"/>
    <w:rsid w:val="001415C7"/>
    <w:rsid w:val="0015365F"/>
    <w:rsid w:val="0016153F"/>
    <w:rsid w:val="00197165"/>
    <w:rsid w:val="001A2420"/>
    <w:rsid w:val="001C4B9F"/>
    <w:rsid w:val="001C4CCA"/>
    <w:rsid w:val="001D2026"/>
    <w:rsid w:val="001E50B2"/>
    <w:rsid w:val="001F13AD"/>
    <w:rsid w:val="0023013C"/>
    <w:rsid w:val="002450F2"/>
    <w:rsid w:val="00251D4A"/>
    <w:rsid w:val="00252AC0"/>
    <w:rsid w:val="002639CB"/>
    <w:rsid w:val="00265C00"/>
    <w:rsid w:val="00280A9F"/>
    <w:rsid w:val="00284DD5"/>
    <w:rsid w:val="00292C38"/>
    <w:rsid w:val="002B6B3D"/>
    <w:rsid w:val="002E5B24"/>
    <w:rsid w:val="002E639B"/>
    <w:rsid w:val="002F3042"/>
    <w:rsid w:val="002F3638"/>
    <w:rsid w:val="002F3BA1"/>
    <w:rsid w:val="002F7512"/>
    <w:rsid w:val="00322295"/>
    <w:rsid w:val="00330A52"/>
    <w:rsid w:val="00333A2A"/>
    <w:rsid w:val="0034589E"/>
    <w:rsid w:val="00376941"/>
    <w:rsid w:val="00396FF9"/>
    <w:rsid w:val="003976FA"/>
    <w:rsid w:val="003A33B3"/>
    <w:rsid w:val="003B09E6"/>
    <w:rsid w:val="003B4853"/>
    <w:rsid w:val="003C10D9"/>
    <w:rsid w:val="003D22A7"/>
    <w:rsid w:val="003D6870"/>
    <w:rsid w:val="003E1325"/>
    <w:rsid w:val="003E229E"/>
    <w:rsid w:val="00403E45"/>
    <w:rsid w:val="00407E38"/>
    <w:rsid w:val="00411AA0"/>
    <w:rsid w:val="00412E9F"/>
    <w:rsid w:val="004178FC"/>
    <w:rsid w:val="004318E0"/>
    <w:rsid w:val="00436FFB"/>
    <w:rsid w:val="004421ED"/>
    <w:rsid w:val="00450150"/>
    <w:rsid w:val="00463308"/>
    <w:rsid w:val="0049687D"/>
    <w:rsid w:val="004B0620"/>
    <w:rsid w:val="004B232E"/>
    <w:rsid w:val="004C5B0B"/>
    <w:rsid w:val="004C723E"/>
    <w:rsid w:val="004D1AAA"/>
    <w:rsid w:val="004E4142"/>
    <w:rsid w:val="004F1377"/>
    <w:rsid w:val="004F7E84"/>
    <w:rsid w:val="005011A4"/>
    <w:rsid w:val="00520E43"/>
    <w:rsid w:val="00541376"/>
    <w:rsid w:val="00550716"/>
    <w:rsid w:val="00555212"/>
    <w:rsid w:val="00562090"/>
    <w:rsid w:val="00570DB8"/>
    <w:rsid w:val="00576B02"/>
    <w:rsid w:val="005C72B7"/>
    <w:rsid w:val="005C7312"/>
    <w:rsid w:val="00601C43"/>
    <w:rsid w:val="0060423F"/>
    <w:rsid w:val="0060445F"/>
    <w:rsid w:val="006158D3"/>
    <w:rsid w:val="00624104"/>
    <w:rsid w:val="006256E1"/>
    <w:rsid w:val="00631F9E"/>
    <w:rsid w:val="00671365"/>
    <w:rsid w:val="00676B54"/>
    <w:rsid w:val="00680056"/>
    <w:rsid w:val="00680B31"/>
    <w:rsid w:val="00681DC4"/>
    <w:rsid w:val="00690D63"/>
    <w:rsid w:val="00692998"/>
    <w:rsid w:val="006D2AF5"/>
    <w:rsid w:val="006E055C"/>
    <w:rsid w:val="006E70D8"/>
    <w:rsid w:val="006F19D7"/>
    <w:rsid w:val="006F351C"/>
    <w:rsid w:val="00726589"/>
    <w:rsid w:val="00744454"/>
    <w:rsid w:val="00760773"/>
    <w:rsid w:val="00761A6C"/>
    <w:rsid w:val="00763FCB"/>
    <w:rsid w:val="007716D8"/>
    <w:rsid w:val="00783262"/>
    <w:rsid w:val="007861FE"/>
    <w:rsid w:val="007A0AB2"/>
    <w:rsid w:val="007B5AAD"/>
    <w:rsid w:val="007C5034"/>
    <w:rsid w:val="007D4249"/>
    <w:rsid w:val="007D4756"/>
    <w:rsid w:val="007D6824"/>
    <w:rsid w:val="00800F3B"/>
    <w:rsid w:val="008142E9"/>
    <w:rsid w:val="00837A34"/>
    <w:rsid w:val="00842EAA"/>
    <w:rsid w:val="00844325"/>
    <w:rsid w:val="00850552"/>
    <w:rsid w:val="008528DA"/>
    <w:rsid w:val="008661B6"/>
    <w:rsid w:val="008725B3"/>
    <w:rsid w:val="008808A1"/>
    <w:rsid w:val="00881004"/>
    <w:rsid w:val="00884816"/>
    <w:rsid w:val="008A38D9"/>
    <w:rsid w:val="008A6744"/>
    <w:rsid w:val="008C3D4E"/>
    <w:rsid w:val="008E037C"/>
    <w:rsid w:val="008E08AE"/>
    <w:rsid w:val="00905185"/>
    <w:rsid w:val="00914B72"/>
    <w:rsid w:val="00920271"/>
    <w:rsid w:val="00925110"/>
    <w:rsid w:val="00930C44"/>
    <w:rsid w:val="0094439B"/>
    <w:rsid w:val="00952D1E"/>
    <w:rsid w:val="00974D9A"/>
    <w:rsid w:val="009946F8"/>
    <w:rsid w:val="009A04F0"/>
    <w:rsid w:val="009B3181"/>
    <w:rsid w:val="009B4029"/>
    <w:rsid w:val="009B76D1"/>
    <w:rsid w:val="009C424D"/>
    <w:rsid w:val="009D6D9B"/>
    <w:rsid w:val="009F1D5E"/>
    <w:rsid w:val="00A32A4C"/>
    <w:rsid w:val="00A34615"/>
    <w:rsid w:val="00A44409"/>
    <w:rsid w:val="00A47B24"/>
    <w:rsid w:val="00A80ADF"/>
    <w:rsid w:val="00AA4DF5"/>
    <w:rsid w:val="00AA7087"/>
    <w:rsid w:val="00AB4A6B"/>
    <w:rsid w:val="00AB7001"/>
    <w:rsid w:val="00AC63CE"/>
    <w:rsid w:val="00AC6A68"/>
    <w:rsid w:val="00AE4EFC"/>
    <w:rsid w:val="00AF3AE1"/>
    <w:rsid w:val="00AF5EE7"/>
    <w:rsid w:val="00B12C50"/>
    <w:rsid w:val="00B20000"/>
    <w:rsid w:val="00B257E3"/>
    <w:rsid w:val="00B30ADA"/>
    <w:rsid w:val="00B41936"/>
    <w:rsid w:val="00B519CD"/>
    <w:rsid w:val="00B54912"/>
    <w:rsid w:val="00B66113"/>
    <w:rsid w:val="00B90E8E"/>
    <w:rsid w:val="00B97B15"/>
    <w:rsid w:val="00BA14C1"/>
    <w:rsid w:val="00BA2EF1"/>
    <w:rsid w:val="00BB06AF"/>
    <w:rsid w:val="00BC5343"/>
    <w:rsid w:val="00BE7729"/>
    <w:rsid w:val="00BF667A"/>
    <w:rsid w:val="00C30A39"/>
    <w:rsid w:val="00C46C94"/>
    <w:rsid w:val="00CA1E69"/>
    <w:rsid w:val="00CA3BA6"/>
    <w:rsid w:val="00CC14E7"/>
    <w:rsid w:val="00CC3075"/>
    <w:rsid w:val="00CE2C3D"/>
    <w:rsid w:val="00CE3C2A"/>
    <w:rsid w:val="00CE7739"/>
    <w:rsid w:val="00CF6773"/>
    <w:rsid w:val="00D10915"/>
    <w:rsid w:val="00D320DC"/>
    <w:rsid w:val="00D86D54"/>
    <w:rsid w:val="00DA00A6"/>
    <w:rsid w:val="00DB2F6C"/>
    <w:rsid w:val="00DC3B0A"/>
    <w:rsid w:val="00DD1A8E"/>
    <w:rsid w:val="00DF754A"/>
    <w:rsid w:val="00E00BA7"/>
    <w:rsid w:val="00E1280E"/>
    <w:rsid w:val="00E14957"/>
    <w:rsid w:val="00E37942"/>
    <w:rsid w:val="00E5635F"/>
    <w:rsid w:val="00E630C8"/>
    <w:rsid w:val="00E64981"/>
    <w:rsid w:val="00E649F9"/>
    <w:rsid w:val="00E707E5"/>
    <w:rsid w:val="00E70B01"/>
    <w:rsid w:val="00E84C37"/>
    <w:rsid w:val="00E91CF0"/>
    <w:rsid w:val="00E93E4F"/>
    <w:rsid w:val="00EA1BC8"/>
    <w:rsid w:val="00EB0019"/>
    <w:rsid w:val="00EB1916"/>
    <w:rsid w:val="00EE3EDB"/>
    <w:rsid w:val="00F10515"/>
    <w:rsid w:val="00F25337"/>
    <w:rsid w:val="00F5183F"/>
    <w:rsid w:val="00F557F8"/>
    <w:rsid w:val="00F87431"/>
    <w:rsid w:val="00FB666B"/>
    <w:rsid w:val="00FC51BA"/>
    <w:rsid w:val="00FC6AE9"/>
    <w:rsid w:val="00FD3F16"/>
    <w:rsid w:val="00FD6B65"/>
    <w:rsid w:val="00F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5D4DE3"/>
  <w14:defaultImageDpi w14:val="32767"/>
  <w15:docId w15:val="{7AB43E29-58BF-4848-B139-C87B4424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2A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1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1A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A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A8E"/>
    <w:rPr>
      <w:b/>
      <w:bCs/>
    </w:rPr>
  </w:style>
  <w:style w:type="paragraph" w:styleId="NoSpacing">
    <w:name w:val="No Spacing"/>
    <w:uiPriority w:val="1"/>
    <w:qFormat/>
    <w:rsid w:val="000745FA"/>
    <w:rPr>
      <w:rFonts w:ascii="Arial" w:hAnsi="Arial"/>
      <w:sz w:val="22"/>
      <w:szCs w:val="24"/>
    </w:rPr>
  </w:style>
  <w:style w:type="paragraph" w:styleId="BodyText">
    <w:name w:val="Body Text"/>
    <w:basedOn w:val="Normal"/>
    <w:link w:val="BodyTextChar"/>
    <w:uiPriority w:val="1"/>
    <w:qFormat/>
    <w:rsid w:val="000745FA"/>
    <w:pPr>
      <w:widowControl w:val="0"/>
      <w:autoSpaceDE w:val="0"/>
      <w:autoSpaceDN w:val="0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745FA"/>
    <w:rPr>
      <w:rFonts w:ascii="Times New Roman" w:eastAsia="Times New Roman" w:hAnsi="Times New Roman"/>
      <w:sz w:val="23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074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5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borah.goda@dhhs.nc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84DF9C38F85459C2FBB53EA3FC961" ma:contentTypeVersion="15" ma:contentTypeDescription="Create a new document." ma:contentTypeScope="" ma:versionID="22f417302e9e499c6ec9c8ec1c00dabf">
  <xsd:schema xmlns:xsd="http://www.w3.org/2001/XMLSchema" xmlns:xs="http://www.w3.org/2001/XMLSchema" xmlns:p="http://schemas.microsoft.com/office/2006/metadata/properties" xmlns:ns2="bd78b2e4-9060-4309-b354-463fb93a4269" xmlns:ns3="ea8af748-1d0b-4554-b403-23c573964229" targetNamespace="http://schemas.microsoft.com/office/2006/metadata/properties" ma:root="true" ma:fieldsID="3ed3e98785b950dfed9af71534dfca54" ns2:_="" ns3:_="">
    <xsd:import namespace="bd78b2e4-9060-4309-b354-463fb93a4269"/>
    <xsd:import namespace="ea8af748-1d0b-4554-b403-23c573964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8b2e4-9060-4309-b354-463fb93a4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af748-1d0b-4554-b403-23c573964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7b129b-aecc-4f48-b65e-4752a1115b12}" ma:internalName="TaxCatchAll" ma:showField="CatchAllData" ma:web="ea8af748-1d0b-4554-b403-23c573964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8b2e4-9060-4309-b354-463fb93a4269">
      <Terms xmlns="http://schemas.microsoft.com/office/infopath/2007/PartnerControls"/>
    </lcf76f155ced4ddcb4097134ff3c332f>
    <TaxCatchAll xmlns="ea8af748-1d0b-4554-b403-23c573964229" xsi:nil="true"/>
  </documentManagement>
</p:properties>
</file>

<file path=customXml/itemProps1.xml><?xml version="1.0" encoding="utf-8"?>
<ds:datastoreItem xmlns:ds="http://schemas.openxmlformats.org/officeDocument/2006/customXml" ds:itemID="{9FA316E0-DAAA-421F-9E1F-AEF8545E2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8b2e4-9060-4309-b354-463fb93a4269"/>
    <ds:schemaRef ds:uri="ea8af748-1d0b-4554-b403-23c573964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94A4E-6E1C-4124-896D-0FC67575B8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DAF47A-E1C5-43E7-A5E9-11181AE96E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B08E6-F147-4A1E-A870-A7411AF772DF}">
  <ds:schemaRefs>
    <ds:schemaRef ds:uri="http://schemas.microsoft.com/office/2006/metadata/properties"/>
    <ds:schemaRef ds:uri="http://schemas.microsoft.com/office/infopath/2007/PartnerControls"/>
    <ds:schemaRef ds:uri="bd78b2e4-9060-4309-b354-463fb93a4269"/>
    <ds:schemaRef ds:uri="ea8af748-1d0b-4554-b403-23c5739642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Smith, Tamara</cp:lastModifiedBy>
  <cp:revision>2</cp:revision>
  <cp:lastPrinted>2017-12-14T20:08:00Z</cp:lastPrinted>
  <dcterms:created xsi:type="dcterms:W3CDTF">2024-09-23T15:01:00Z</dcterms:created>
  <dcterms:modified xsi:type="dcterms:W3CDTF">2024-09-23T15:01:00Z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0x01010090A84DF9C38F85459C2FBB53EA3FC961</vt:lpwstr>
  </property>
  <property fmtid="{D5CDD505-2E9C-101B-9397-08002B2CF9AE}" pid="3" name="GrammarlyDocumentId">
    <vt:lpwstr>ffdf9cf69c994d46b90fd6c775e473a0c6856e1b7059f516264f8f9458b54fd3</vt:lpwstr>
  </property>
</Properties>
</file>